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80F94">
      <w:pPr>
        <w:spacing w:line="360" w:lineRule="auto"/>
        <w:jc w:val="center"/>
        <w:rPr>
          <w:rFonts w:hint="eastAsia" w:ascii="Times New Roman" w:hAnsi="Times New Roman" w:eastAsia="黑体" w:cs="Times New Roman"/>
          <w:b/>
          <w:color w:val="auto"/>
          <w:kern w:val="22"/>
          <w:sz w:val="44"/>
          <w:szCs w:val="44"/>
        </w:rPr>
      </w:pPr>
    </w:p>
    <w:p w14:paraId="46B8AB5B">
      <w:pPr>
        <w:spacing w:line="360" w:lineRule="auto"/>
        <w:jc w:val="center"/>
        <w:rPr>
          <w:rFonts w:hint="eastAsia" w:ascii="Times New Roman" w:hAnsi="Times New Roman" w:eastAsia="黑体" w:cs="Times New Roman"/>
          <w:b/>
          <w:color w:val="auto"/>
          <w:kern w:val="22"/>
          <w:sz w:val="44"/>
          <w:szCs w:val="44"/>
        </w:rPr>
      </w:pPr>
    </w:p>
    <w:p w14:paraId="0C927031">
      <w:pPr>
        <w:spacing w:line="360" w:lineRule="auto"/>
        <w:jc w:val="center"/>
        <w:rPr>
          <w:rFonts w:hint="eastAsia" w:ascii="Times New Roman" w:hAnsi="Times New Roman" w:eastAsia="黑体" w:cs="Times New Roman"/>
          <w:b/>
          <w:color w:val="auto"/>
          <w:kern w:val="22"/>
          <w:sz w:val="44"/>
          <w:szCs w:val="44"/>
        </w:rPr>
      </w:pPr>
    </w:p>
    <w:p w14:paraId="48E14F88">
      <w:pPr>
        <w:spacing w:line="360" w:lineRule="auto"/>
        <w:jc w:val="center"/>
        <w:rPr>
          <w:rFonts w:hint="eastAsia" w:ascii="Times New Roman" w:hAnsi="Times New Roman" w:eastAsia="黑体" w:cs="Times New Roman"/>
          <w:b/>
          <w:color w:val="auto"/>
          <w:kern w:val="22"/>
          <w:sz w:val="44"/>
          <w:szCs w:val="44"/>
        </w:rPr>
      </w:pPr>
    </w:p>
    <w:p w14:paraId="4D270093">
      <w:pPr>
        <w:spacing w:line="360" w:lineRule="auto"/>
        <w:jc w:val="center"/>
        <w:rPr>
          <w:rFonts w:ascii="Times New Roman" w:hAnsi="Times New Roman" w:eastAsia="黑体" w:cs="Times New Roman"/>
          <w:b/>
          <w:color w:val="auto"/>
          <w:kern w:val="22"/>
          <w:sz w:val="44"/>
          <w:szCs w:val="44"/>
        </w:rPr>
      </w:pPr>
      <w:r>
        <w:rPr>
          <w:rFonts w:hint="eastAsia" w:ascii="Times New Roman" w:hAnsi="Times New Roman" w:eastAsia="黑体" w:cs="Times New Roman"/>
          <w:b/>
          <w:color w:val="auto"/>
          <w:kern w:val="22"/>
          <w:sz w:val="44"/>
          <w:szCs w:val="44"/>
        </w:rPr>
        <w:t>山西省地方标准</w:t>
      </w:r>
    </w:p>
    <w:p w14:paraId="3301DC9F">
      <w:pPr>
        <w:spacing w:line="360" w:lineRule="auto"/>
        <w:jc w:val="center"/>
        <w:rPr>
          <w:rFonts w:ascii="Times New Roman" w:hAnsi="Times New Roman" w:eastAsia="黑体" w:cs="Times New Roman"/>
          <w:b/>
          <w:color w:val="auto"/>
          <w:kern w:val="22"/>
          <w:sz w:val="44"/>
          <w:szCs w:val="44"/>
        </w:rPr>
      </w:pPr>
      <w:r>
        <w:rPr>
          <w:rFonts w:hint="eastAsia" w:ascii="Times New Roman" w:hAnsi="Times New Roman" w:eastAsia="黑体" w:cs="Times New Roman"/>
          <w:b/>
          <w:color w:val="auto"/>
          <w:kern w:val="22"/>
          <w:sz w:val="44"/>
          <w:szCs w:val="44"/>
        </w:rPr>
        <w:t>《</w:t>
      </w:r>
      <w:r>
        <w:rPr>
          <w:rFonts w:hint="eastAsia" w:ascii="Times New Roman" w:hAnsi="Times New Roman" w:eastAsia="黑体" w:cs="Times New Roman"/>
          <w:b/>
          <w:color w:val="auto"/>
          <w:kern w:val="22"/>
          <w:sz w:val="44"/>
          <w:szCs w:val="44"/>
          <w:lang w:val="en-US" w:eastAsia="zh-CN"/>
        </w:rPr>
        <w:t>葡萄育苗</w:t>
      </w:r>
      <w:r>
        <w:rPr>
          <w:rFonts w:hint="eastAsia" w:ascii="Times New Roman" w:hAnsi="Times New Roman" w:eastAsia="黑体" w:cs="Times New Roman"/>
          <w:b/>
          <w:color w:val="auto"/>
          <w:kern w:val="22"/>
          <w:sz w:val="44"/>
          <w:szCs w:val="44"/>
          <w:lang w:eastAsia="zh-CN"/>
        </w:rPr>
        <w:t>技术规程</w:t>
      </w:r>
      <w:r>
        <w:rPr>
          <w:rFonts w:hint="eastAsia" w:ascii="Times New Roman" w:hAnsi="Times New Roman" w:eastAsia="黑体" w:cs="Times New Roman"/>
          <w:b/>
          <w:color w:val="auto"/>
          <w:kern w:val="22"/>
          <w:sz w:val="44"/>
          <w:szCs w:val="44"/>
        </w:rPr>
        <w:t>》</w:t>
      </w:r>
    </w:p>
    <w:p w14:paraId="44373A67">
      <w:pPr>
        <w:spacing w:line="360" w:lineRule="auto"/>
        <w:jc w:val="center"/>
        <w:rPr>
          <w:rFonts w:ascii="Times New Roman" w:hAnsi="Times New Roman" w:eastAsia="黑体" w:cs="Times New Roman"/>
          <w:b/>
          <w:color w:val="auto"/>
          <w:kern w:val="22"/>
          <w:sz w:val="44"/>
          <w:szCs w:val="44"/>
        </w:rPr>
      </w:pPr>
      <w:r>
        <w:rPr>
          <w:rFonts w:hint="eastAsia" w:ascii="Times New Roman" w:hAnsi="Times New Roman" w:eastAsia="黑体" w:cs="Times New Roman"/>
          <w:b/>
          <w:color w:val="auto"/>
          <w:kern w:val="22"/>
          <w:sz w:val="44"/>
          <w:szCs w:val="44"/>
        </w:rPr>
        <w:t>编制说明</w:t>
      </w:r>
    </w:p>
    <w:p w14:paraId="25A6782D">
      <w:pPr>
        <w:ind w:firstLine="643" w:firstLineChars="200"/>
        <w:rPr>
          <w:rFonts w:ascii="Times New Roman" w:hAnsi="Times New Roman" w:eastAsia="仿宋" w:cs="Times New Roman"/>
          <w:b/>
          <w:color w:val="auto"/>
          <w:sz w:val="32"/>
          <w:szCs w:val="32"/>
        </w:rPr>
      </w:pPr>
    </w:p>
    <w:p w14:paraId="7ABA2844">
      <w:pPr>
        <w:ind w:firstLine="643" w:firstLineChars="200"/>
        <w:rPr>
          <w:rFonts w:ascii="Times New Roman" w:hAnsi="Times New Roman" w:eastAsia="仿宋" w:cs="Times New Roman"/>
          <w:b/>
          <w:color w:val="auto"/>
          <w:sz w:val="32"/>
          <w:szCs w:val="32"/>
        </w:rPr>
      </w:pPr>
    </w:p>
    <w:p w14:paraId="49EE2DF9">
      <w:pPr>
        <w:ind w:firstLine="643" w:firstLineChars="200"/>
        <w:rPr>
          <w:rFonts w:ascii="Times New Roman" w:hAnsi="Times New Roman" w:eastAsia="仿宋" w:cs="Times New Roman"/>
          <w:b/>
          <w:color w:val="auto"/>
          <w:sz w:val="32"/>
          <w:szCs w:val="32"/>
        </w:rPr>
      </w:pPr>
    </w:p>
    <w:p w14:paraId="2C443A9F">
      <w:pPr>
        <w:ind w:firstLine="643" w:firstLineChars="200"/>
        <w:rPr>
          <w:rFonts w:ascii="Times New Roman" w:hAnsi="Times New Roman" w:eastAsia="仿宋" w:cs="Times New Roman"/>
          <w:b/>
          <w:color w:val="auto"/>
          <w:sz w:val="32"/>
          <w:szCs w:val="32"/>
        </w:rPr>
      </w:pPr>
    </w:p>
    <w:p w14:paraId="11550C0F">
      <w:pPr>
        <w:ind w:firstLine="643" w:firstLineChars="200"/>
        <w:rPr>
          <w:rFonts w:ascii="Times New Roman" w:hAnsi="Times New Roman" w:eastAsia="仿宋" w:cs="Times New Roman"/>
          <w:b/>
          <w:color w:val="auto"/>
          <w:sz w:val="32"/>
          <w:szCs w:val="32"/>
        </w:rPr>
      </w:pPr>
    </w:p>
    <w:p w14:paraId="556BC6E3">
      <w:pPr>
        <w:ind w:firstLine="643" w:firstLineChars="200"/>
        <w:rPr>
          <w:rFonts w:ascii="Times New Roman" w:hAnsi="Times New Roman" w:eastAsia="仿宋" w:cs="Times New Roman"/>
          <w:b/>
          <w:color w:val="auto"/>
          <w:sz w:val="32"/>
          <w:szCs w:val="32"/>
        </w:rPr>
      </w:pPr>
    </w:p>
    <w:p w14:paraId="4B6ACA4B">
      <w:pPr>
        <w:ind w:firstLine="643" w:firstLineChars="200"/>
        <w:rPr>
          <w:rFonts w:ascii="Times New Roman" w:hAnsi="Times New Roman" w:eastAsia="仿宋" w:cs="Times New Roman"/>
          <w:b/>
          <w:color w:val="auto"/>
          <w:sz w:val="32"/>
          <w:szCs w:val="32"/>
        </w:rPr>
      </w:pPr>
    </w:p>
    <w:p w14:paraId="37139FA5">
      <w:pPr>
        <w:ind w:firstLine="643" w:firstLineChars="200"/>
        <w:jc w:val="center"/>
        <w:rPr>
          <w:rFonts w:ascii="Times New Roman" w:hAnsi="Times New Roman" w:eastAsia="仿宋" w:cs="Times New Roman"/>
          <w:b/>
          <w:color w:val="auto"/>
          <w:sz w:val="32"/>
          <w:szCs w:val="32"/>
        </w:rPr>
      </w:pPr>
    </w:p>
    <w:p w14:paraId="6709F1F8">
      <w:pPr>
        <w:ind w:firstLine="643" w:firstLineChars="20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14:paraId="15190373">
      <w:pPr>
        <w:ind w:firstLine="643" w:firstLineChars="20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14:paraId="47489F6B">
      <w:pPr>
        <w:ind w:firstLine="643" w:firstLineChars="200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14:paraId="33AFA632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kern w:val="22"/>
          <w:sz w:val="10"/>
          <w:szCs w:val="10"/>
          <w:lang w:val="en-US" w:eastAsia="zh-CN"/>
        </w:rPr>
      </w:pPr>
      <w:r>
        <w:rPr>
          <w:rFonts w:hint="eastAsia" w:ascii="Times New Roman" w:hAnsi="Times New Roman" w:cs="Times New Roman"/>
          <w:b/>
          <w:color w:val="auto"/>
          <w:kern w:val="22"/>
          <w:sz w:val="32"/>
          <w:szCs w:val="32"/>
        </w:rPr>
        <w:t>编制单位：</w:t>
      </w:r>
      <w:r>
        <w:rPr>
          <w:rFonts w:hint="eastAsia" w:ascii="Times New Roman" w:hAnsi="Times New Roman" w:cs="Times New Roman"/>
          <w:b/>
          <w:color w:val="auto"/>
          <w:kern w:val="22"/>
          <w:sz w:val="32"/>
          <w:szCs w:val="32"/>
          <w:lang w:val="en-US" w:eastAsia="zh-CN"/>
        </w:rPr>
        <w:t>山西农业大学</w:t>
      </w:r>
    </w:p>
    <w:p w14:paraId="36B39247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>
        <w:rPr>
          <w:rFonts w:hint="eastAsia" w:ascii="Times New Roman" w:hAnsi="Times New Roman" w:cs="Times New Roman"/>
          <w:b/>
          <w:color w:val="auto"/>
          <w:sz w:val="32"/>
          <w:szCs w:val="32"/>
        </w:rPr>
        <w:t>二〇</w:t>
      </w:r>
      <w:r>
        <w:rPr>
          <w:rFonts w:hint="eastAsia" w:ascii="Times New Roman" w:hAnsi="Times New Roman" w:cs="Times New Roman"/>
          <w:b/>
          <w:color w:val="auto"/>
          <w:sz w:val="32"/>
          <w:szCs w:val="32"/>
          <w:lang w:eastAsia="zh-CN"/>
        </w:rPr>
        <w:t>二四</w:t>
      </w:r>
      <w:r>
        <w:rPr>
          <w:rFonts w:hint="eastAsia" w:ascii="Times New Roman" w:hAnsi="Times New Roman" w:cs="Times New Roman"/>
          <w:b/>
          <w:color w:val="auto"/>
          <w:sz w:val="32"/>
          <w:szCs w:val="32"/>
        </w:rPr>
        <w:t>年</w:t>
      </w:r>
      <w:r>
        <w:rPr>
          <w:rFonts w:hint="eastAsia" w:cs="Times New Roman"/>
          <w:b/>
          <w:color w:val="auto"/>
          <w:sz w:val="32"/>
          <w:szCs w:val="32"/>
          <w:lang w:val="en-US" w:eastAsia="zh-CN"/>
        </w:rPr>
        <w:t>一</w:t>
      </w:r>
      <w:bookmarkStart w:id="0" w:name="_GoBack"/>
      <w:bookmarkEnd w:id="0"/>
      <w:r>
        <w:rPr>
          <w:rFonts w:hint="eastAsia" w:ascii="Times New Roman" w:hAnsi="Times New Roman" w:cs="Times New Roman"/>
          <w:b/>
          <w:color w:val="auto"/>
          <w:sz w:val="32"/>
          <w:szCs w:val="32"/>
        </w:rPr>
        <w:t>月</w:t>
      </w:r>
    </w:p>
    <w:p w14:paraId="6037530E">
      <w:pPr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14:paraId="5C2312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cs="Times New Roman"/>
          <w:b/>
          <w:color w:val="auto"/>
          <w:sz w:val="30"/>
          <w:szCs w:val="30"/>
        </w:rPr>
        <w:sectPr>
          <w:footerReference r:id="rId3" w:type="default"/>
          <w:pgSz w:w="11906" w:h="16838"/>
          <w:pgMar w:top="1440" w:right="1803" w:bottom="1440" w:left="1803" w:header="851" w:footer="992" w:gutter="0"/>
          <w:pgNumType w:fmt="decimal" w:start="1"/>
          <w:cols w:space="0" w:num="1"/>
          <w:titlePg/>
          <w:rtlGutter w:val="0"/>
          <w:docGrid w:type="lines" w:linePitch="319" w:charSpace="0"/>
        </w:sectPr>
      </w:pPr>
    </w:p>
    <w:p w14:paraId="33ED7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Times New Roman" w:hAnsi="Times New Roman" w:cs="Times New Roman"/>
          <w:b/>
          <w:color w:val="auto"/>
          <w:sz w:val="30"/>
          <w:szCs w:val="30"/>
        </w:rPr>
      </w:pPr>
      <w:r>
        <w:rPr>
          <w:rFonts w:hint="eastAsia" w:ascii="Times New Roman" w:hAnsi="Times New Roman" w:cs="Times New Roman"/>
          <w:b/>
          <w:color w:val="auto"/>
          <w:sz w:val="30"/>
          <w:szCs w:val="30"/>
        </w:rPr>
        <w:t>山西省地方标准</w:t>
      </w:r>
    </w:p>
    <w:p w14:paraId="3AFC3D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Times New Roman" w:hAnsi="Times New Roman" w:cs="Times New Roman"/>
          <w:b/>
          <w:color w:val="auto"/>
          <w:sz w:val="30"/>
          <w:szCs w:val="30"/>
        </w:rPr>
      </w:pPr>
      <w:r>
        <w:rPr>
          <w:rFonts w:hint="eastAsia" w:ascii="Times New Roman" w:hAnsi="Times New Roman" w:cs="Times New Roman"/>
          <w:b/>
          <w:color w:val="auto"/>
          <w:sz w:val="30"/>
          <w:szCs w:val="30"/>
        </w:rPr>
        <w:t>《</w:t>
      </w:r>
      <w:r>
        <w:rPr>
          <w:rFonts w:hint="eastAsia" w:ascii="Times New Roman" w:hAnsi="Times New Roman" w:cs="Times New Roman"/>
          <w:b/>
          <w:color w:val="auto"/>
          <w:sz w:val="30"/>
          <w:szCs w:val="30"/>
          <w:lang w:val="en-US" w:eastAsia="zh-CN"/>
        </w:rPr>
        <w:t>葡萄育苗</w:t>
      </w:r>
      <w:r>
        <w:rPr>
          <w:rFonts w:hint="eastAsia" w:ascii="Times New Roman" w:hAnsi="Times New Roman" w:cs="Times New Roman"/>
          <w:b/>
          <w:color w:val="auto"/>
          <w:sz w:val="30"/>
          <w:szCs w:val="30"/>
          <w:lang w:eastAsia="zh-CN"/>
        </w:rPr>
        <w:t>技术</w:t>
      </w:r>
      <w:r>
        <w:rPr>
          <w:rFonts w:hint="eastAsia" w:ascii="Times New Roman" w:hAnsi="Times New Roman" w:cs="Times New Roman"/>
          <w:b/>
          <w:color w:val="auto"/>
          <w:sz w:val="30"/>
          <w:szCs w:val="30"/>
        </w:rPr>
        <w:t>规程》</w:t>
      </w:r>
    </w:p>
    <w:p w14:paraId="56C84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cs="Times New Roman"/>
          <w:b/>
          <w:color w:val="auto"/>
          <w:sz w:val="30"/>
          <w:szCs w:val="30"/>
        </w:rPr>
      </w:pPr>
      <w:r>
        <w:rPr>
          <w:rFonts w:hint="eastAsia" w:ascii="Times New Roman" w:hAnsi="Times New Roman" w:cs="Times New Roman"/>
          <w:b/>
          <w:color w:val="auto"/>
          <w:sz w:val="30"/>
          <w:szCs w:val="30"/>
        </w:rPr>
        <w:t>编制说明</w:t>
      </w:r>
    </w:p>
    <w:p w14:paraId="28F68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cs="Times New Roman"/>
          <w:b/>
          <w:color w:val="auto"/>
          <w:sz w:val="30"/>
          <w:szCs w:val="30"/>
        </w:rPr>
      </w:pPr>
    </w:p>
    <w:p w14:paraId="7E5DDFBB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auto"/>
          <w:sz w:val="24"/>
        </w:rPr>
      </w:pPr>
      <w:r>
        <w:rPr>
          <w:rFonts w:hint="eastAsia" w:ascii="Times New Roman" w:hAnsi="Times New Roman" w:eastAsia="黑体" w:cs="Times New Roman"/>
          <w:color w:val="auto"/>
          <w:sz w:val="24"/>
        </w:rPr>
        <w:t>一、工作简况</w:t>
      </w:r>
    </w:p>
    <w:p w14:paraId="288216AA">
      <w:pPr>
        <w:spacing w:line="360" w:lineRule="auto"/>
        <w:ind w:left="465"/>
        <w:outlineLvl w:val="1"/>
        <w:rPr>
          <w:rFonts w:ascii="Times New Roman" w:hAnsi="Times New Roman" w:eastAsia="楷体_GB2312" w:cs="Times New Roman"/>
          <w:color w:val="auto"/>
          <w:sz w:val="24"/>
        </w:rPr>
      </w:pPr>
      <w:r>
        <w:rPr>
          <w:rFonts w:hint="eastAsia" w:ascii="Times New Roman" w:hAnsi="Times New Roman" w:eastAsia="楷体_GB2312" w:cs="Times New Roman"/>
          <w:color w:val="auto"/>
          <w:sz w:val="24"/>
        </w:rPr>
        <w:t>1</w:t>
      </w:r>
      <w:r>
        <w:rPr>
          <w:rFonts w:hint="eastAsia" w:ascii="Times New Roman" w:hAnsi="Times New Roman" w:eastAsia="楷体_GB2312" w:cs="Times New Roman"/>
          <w:color w:val="auto"/>
          <w:sz w:val="24"/>
          <w:lang w:eastAsia="zh-CN"/>
        </w:rPr>
        <w:t>、</w:t>
      </w:r>
      <w:r>
        <w:rPr>
          <w:rFonts w:hint="eastAsia" w:ascii="Times New Roman" w:hAnsi="Times New Roman" w:eastAsia="楷体_GB2312" w:cs="Times New Roman"/>
          <w:color w:val="auto"/>
          <w:sz w:val="24"/>
        </w:rPr>
        <w:t>任务来源</w:t>
      </w:r>
    </w:p>
    <w:p w14:paraId="24A2A2F3">
      <w:pPr>
        <w:spacing w:line="360" w:lineRule="auto"/>
        <w:ind w:firstLine="480" w:firstLineChars="200"/>
        <w:jc w:val="both"/>
        <w:outlineLvl w:val="1"/>
        <w:rPr>
          <w:rFonts w:ascii="Times New Roman" w:hAnsi="Times New Roman" w:eastAsia="仿宋_GB2312" w:cs="Times New Roman"/>
          <w:color w:val="auto"/>
          <w:sz w:val="24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>按照</w:t>
      </w:r>
      <w:r>
        <w:rPr>
          <w:rFonts w:hint="eastAsia" w:ascii="Times New Roman" w:hAnsi="Times New Roman" w:eastAsia="仿宋_GB2312" w:cs="Times New Roman"/>
          <w:color w:val="auto"/>
          <w:sz w:val="24"/>
        </w:rPr>
        <w:t>山西省市场监督管理局关于2022年度省级地方标准复审结论公告（山西省地方标准公告2022年第20号），《</w:t>
      </w: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>葡萄育苗</w:t>
      </w:r>
      <w:r>
        <w:rPr>
          <w:rFonts w:hint="eastAsia" w:ascii="Times New Roman" w:hAnsi="Times New Roman" w:eastAsia="仿宋_GB2312" w:cs="Times New Roman"/>
          <w:color w:val="auto"/>
          <w:sz w:val="24"/>
          <w:lang w:eastAsia="zh-CN"/>
        </w:rPr>
        <w:t>技术规程</w:t>
      </w:r>
      <w:r>
        <w:rPr>
          <w:rFonts w:hint="eastAsia" w:ascii="Times New Roman" w:hAnsi="Times New Roman" w:eastAsia="仿宋_GB2312" w:cs="Times New Roman"/>
          <w:color w:val="auto"/>
          <w:sz w:val="24"/>
        </w:rPr>
        <w:t>》DB14/T</w:t>
      </w: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 xml:space="preserve"> 1557</w:t>
      </w:r>
      <w:r>
        <w:rPr>
          <w:rFonts w:hint="eastAsia" w:ascii="Times New Roman" w:hAnsi="Times New Roman" w:eastAsia="仿宋_GB2312" w:cs="Times New Roman"/>
          <w:color w:val="auto"/>
          <w:sz w:val="24"/>
        </w:rPr>
        <w:t>-</w:t>
      </w: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>2018被</w:t>
      </w:r>
      <w:r>
        <w:rPr>
          <w:rFonts w:hint="eastAsia" w:ascii="Times New Roman" w:hAnsi="Times New Roman" w:eastAsia="仿宋_GB2312" w:cs="Times New Roman"/>
          <w:color w:val="auto"/>
          <w:sz w:val="24"/>
        </w:rPr>
        <w:t>列</w:t>
      </w: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>入</w:t>
      </w:r>
      <w:r>
        <w:rPr>
          <w:rFonts w:hint="eastAsia" w:ascii="Times New Roman" w:hAnsi="Times New Roman" w:eastAsia="仿宋_GB2312" w:cs="Times New Roman"/>
          <w:color w:val="auto"/>
          <w:sz w:val="24"/>
        </w:rPr>
        <w:t>山西省地方标准修订计划，本标准由山西省农业标准化技术委员会（SXS/TC19）归口。</w:t>
      </w:r>
    </w:p>
    <w:p w14:paraId="60A63D24">
      <w:pPr>
        <w:spacing w:line="360" w:lineRule="auto"/>
        <w:ind w:left="465"/>
        <w:outlineLvl w:val="1"/>
        <w:rPr>
          <w:rFonts w:ascii="Times New Roman" w:hAnsi="Times New Roman" w:eastAsia="楷体_GB2312" w:cs="Times New Roman"/>
          <w:color w:val="auto"/>
          <w:sz w:val="24"/>
        </w:rPr>
      </w:pPr>
      <w:r>
        <w:rPr>
          <w:rFonts w:hint="eastAsia" w:ascii="Times New Roman" w:hAnsi="Times New Roman" w:eastAsia="楷体_GB2312" w:cs="Times New Roman"/>
          <w:color w:val="auto"/>
          <w:sz w:val="24"/>
        </w:rPr>
        <w:t>2</w:t>
      </w:r>
      <w:r>
        <w:rPr>
          <w:rFonts w:hint="eastAsia" w:ascii="Times New Roman" w:hAnsi="Times New Roman" w:eastAsia="楷体_GB2312" w:cs="Times New Roman"/>
          <w:color w:val="auto"/>
          <w:sz w:val="24"/>
          <w:lang w:eastAsia="zh-CN"/>
        </w:rPr>
        <w:t>、</w:t>
      </w:r>
      <w:r>
        <w:rPr>
          <w:rFonts w:hint="eastAsia" w:ascii="Times New Roman" w:hAnsi="Times New Roman" w:eastAsia="楷体_GB2312" w:cs="Times New Roman"/>
          <w:color w:val="auto"/>
          <w:sz w:val="24"/>
        </w:rPr>
        <w:t>起草</w:t>
      </w:r>
      <w:r>
        <w:rPr>
          <w:rFonts w:ascii="Times New Roman" w:hAnsi="Times New Roman" w:eastAsia="楷体_GB2312" w:cs="Times New Roman"/>
          <w:color w:val="auto"/>
          <w:sz w:val="24"/>
        </w:rPr>
        <w:t>单位和主要起草人</w:t>
      </w:r>
    </w:p>
    <w:p w14:paraId="764FB862">
      <w:pPr>
        <w:spacing w:line="360" w:lineRule="auto"/>
        <w:ind w:firstLine="480" w:firstLineChars="200"/>
        <w:jc w:val="left"/>
        <w:outlineLvl w:val="1"/>
        <w:rPr>
          <w:rFonts w:ascii="Times New Roman" w:hAnsi="Times New Roman" w:eastAsia="仿宋_GB2312" w:cs="Times New Roman"/>
          <w:color w:val="auto"/>
          <w:sz w:val="24"/>
        </w:rPr>
      </w:pPr>
      <w:r>
        <w:rPr>
          <w:rFonts w:ascii="Times New Roman" w:hAnsi="Times New Roman" w:eastAsia="仿宋_GB2312" w:cs="Times New Roman"/>
          <w:color w:val="auto"/>
          <w:sz w:val="24"/>
        </w:rPr>
        <w:t>起草任务由</w:t>
      </w: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>山西农业大学、河津市农业农村局、永济市农业农村局、太原学院、河津市宏波葡萄种植专业合作社</w:t>
      </w:r>
      <w:r>
        <w:rPr>
          <w:rFonts w:hint="eastAsia" w:ascii="Times New Roman" w:hAnsi="Times New Roman" w:eastAsia="仿宋_GB2312" w:cs="Times New Roman"/>
          <w:color w:val="auto"/>
          <w:sz w:val="24"/>
          <w:lang w:eastAsia="zh-CN"/>
        </w:rPr>
        <w:t>承担</w:t>
      </w:r>
      <w:r>
        <w:rPr>
          <w:rFonts w:ascii="Times New Roman" w:hAnsi="Times New Roman" w:eastAsia="仿宋_GB2312" w:cs="Times New Roman"/>
          <w:color w:val="auto"/>
          <w:sz w:val="24"/>
        </w:rPr>
        <w:t>。</w:t>
      </w:r>
    </w:p>
    <w:p w14:paraId="15E7B3B2">
      <w:pPr>
        <w:spacing w:line="360" w:lineRule="auto"/>
        <w:ind w:firstLine="480" w:firstLineChars="200"/>
        <w:jc w:val="center"/>
        <w:outlineLvl w:val="1"/>
        <w:rPr>
          <w:rFonts w:ascii="Times New Roman" w:hAnsi="Times New Roman" w:eastAsia="仿宋_GB2312" w:cs="Times New Roman"/>
          <w:color w:val="auto"/>
          <w:sz w:val="24"/>
        </w:rPr>
      </w:pPr>
      <w:r>
        <w:rPr>
          <w:rFonts w:ascii="Times New Roman" w:hAnsi="Times New Roman" w:eastAsia="仿宋_GB2312" w:cs="Times New Roman"/>
          <w:color w:val="auto"/>
          <w:sz w:val="24"/>
        </w:rPr>
        <w:t>主要起草人信息</w:t>
      </w:r>
    </w:p>
    <w:tbl>
      <w:tblPr>
        <w:tblStyle w:val="5"/>
        <w:tblW w:w="86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92"/>
        <w:gridCol w:w="1729"/>
        <w:gridCol w:w="3230"/>
        <w:gridCol w:w="1578"/>
      </w:tblGrid>
      <w:tr w14:paraId="22AB6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A5C521D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</w:rPr>
              <w:t>姓名</w:t>
            </w:r>
          </w:p>
        </w:tc>
        <w:tc>
          <w:tcPr>
            <w:tcW w:w="892" w:type="dxa"/>
            <w:vAlign w:val="center"/>
          </w:tcPr>
          <w:p w14:paraId="1F4A6C35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</w:rPr>
              <w:t>性别</w:t>
            </w:r>
          </w:p>
        </w:tc>
        <w:tc>
          <w:tcPr>
            <w:tcW w:w="1729" w:type="dxa"/>
          </w:tcPr>
          <w:p w14:paraId="1019C9C7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</w:rPr>
              <w:t>职务/职称</w:t>
            </w:r>
          </w:p>
        </w:tc>
        <w:tc>
          <w:tcPr>
            <w:tcW w:w="3230" w:type="dxa"/>
          </w:tcPr>
          <w:p w14:paraId="6E72FFBD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</w:rPr>
              <w:t>工作单位</w:t>
            </w:r>
          </w:p>
        </w:tc>
        <w:tc>
          <w:tcPr>
            <w:tcW w:w="1578" w:type="dxa"/>
          </w:tcPr>
          <w:p w14:paraId="3325D059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</w:rPr>
              <w:t>任务分工</w:t>
            </w:r>
          </w:p>
        </w:tc>
      </w:tr>
      <w:tr w14:paraId="65D72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68D5320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eastAsia="zh-CN"/>
              </w:rPr>
              <w:t>纪</w:t>
            </w: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" w:cs="Times New Roman"/>
                <w:color w:val="auto"/>
                <w:lang w:eastAsia="zh-CN"/>
              </w:rPr>
              <w:t>薇</w:t>
            </w:r>
          </w:p>
        </w:tc>
        <w:tc>
          <w:tcPr>
            <w:tcW w:w="892" w:type="dxa"/>
            <w:vAlign w:val="center"/>
          </w:tcPr>
          <w:p w14:paraId="760EF234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女</w:t>
            </w:r>
          </w:p>
        </w:tc>
        <w:tc>
          <w:tcPr>
            <w:tcW w:w="1729" w:type="dxa"/>
          </w:tcPr>
          <w:p w14:paraId="3EA1AD42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教授</w:t>
            </w:r>
          </w:p>
        </w:tc>
        <w:tc>
          <w:tcPr>
            <w:tcW w:w="3230" w:type="dxa"/>
            <w:vAlign w:val="center"/>
          </w:tcPr>
          <w:p w14:paraId="0EBAF856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山西农业大学</w:t>
            </w:r>
          </w:p>
        </w:tc>
        <w:tc>
          <w:tcPr>
            <w:tcW w:w="1578" w:type="dxa"/>
            <w:vAlign w:val="center"/>
          </w:tcPr>
          <w:p w14:paraId="03C73ABF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全面负责</w:t>
            </w:r>
          </w:p>
        </w:tc>
      </w:tr>
      <w:tr w14:paraId="1BBCB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5BA0E3E9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高美英</w:t>
            </w:r>
          </w:p>
        </w:tc>
        <w:tc>
          <w:tcPr>
            <w:tcW w:w="892" w:type="dxa"/>
            <w:vAlign w:val="center"/>
          </w:tcPr>
          <w:p w14:paraId="2DB3C4CD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女</w:t>
            </w:r>
          </w:p>
        </w:tc>
        <w:tc>
          <w:tcPr>
            <w:tcW w:w="1729" w:type="dxa"/>
          </w:tcPr>
          <w:p w14:paraId="3E6B9A6A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副教授</w:t>
            </w:r>
          </w:p>
        </w:tc>
        <w:tc>
          <w:tcPr>
            <w:tcW w:w="3230" w:type="dxa"/>
            <w:vAlign w:val="center"/>
          </w:tcPr>
          <w:p w14:paraId="5A5D1CC7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山西农业大学</w:t>
            </w:r>
          </w:p>
        </w:tc>
        <w:tc>
          <w:tcPr>
            <w:tcW w:w="1578" w:type="dxa"/>
            <w:vAlign w:val="center"/>
          </w:tcPr>
          <w:p w14:paraId="5EED97DB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科研试验</w:t>
            </w:r>
          </w:p>
        </w:tc>
      </w:tr>
      <w:tr w14:paraId="42D01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4EA41C0C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张晓萍</w:t>
            </w:r>
          </w:p>
        </w:tc>
        <w:tc>
          <w:tcPr>
            <w:tcW w:w="892" w:type="dxa"/>
            <w:vAlign w:val="center"/>
          </w:tcPr>
          <w:p w14:paraId="0B681AE2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女</w:t>
            </w:r>
          </w:p>
        </w:tc>
        <w:tc>
          <w:tcPr>
            <w:tcW w:w="1729" w:type="dxa"/>
          </w:tcPr>
          <w:p w14:paraId="39EC7E14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助理研究员</w:t>
            </w:r>
          </w:p>
        </w:tc>
        <w:tc>
          <w:tcPr>
            <w:tcW w:w="3230" w:type="dxa"/>
            <w:vAlign w:val="center"/>
          </w:tcPr>
          <w:p w14:paraId="7DBB63BD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山西农业大学</w:t>
            </w:r>
          </w:p>
        </w:tc>
        <w:tc>
          <w:tcPr>
            <w:tcW w:w="1578" w:type="dxa"/>
            <w:vAlign w:val="center"/>
          </w:tcPr>
          <w:p w14:paraId="0BA91C7E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修订文本起草</w:t>
            </w:r>
          </w:p>
        </w:tc>
      </w:tr>
      <w:tr w14:paraId="0912E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4C294253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马小河</w:t>
            </w:r>
          </w:p>
        </w:tc>
        <w:tc>
          <w:tcPr>
            <w:tcW w:w="892" w:type="dxa"/>
            <w:vAlign w:val="center"/>
          </w:tcPr>
          <w:p w14:paraId="70365E65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男</w:t>
            </w:r>
          </w:p>
        </w:tc>
        <w:tc>
          <w:tcPr>
            <w:tcW w:w="1729" w:type="dxa"/>
          </w:tcPr>
          <w:p w14:paraId="46048B25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研究员</w:t>
            </w:r>
          </w:p>
        </w:tc>
        <w:tc>
          <w:tcPr>
            <w:tcW w:w="3230" w:type="dxa"/>
            <w:vAlign w:val="center"/>
          </w:tcPr>
          <w:p w14:paraId="14413613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山西农业大学</w:t>
            </w:r>
          </w:p>
        </w:tc>
        <w:tc>
          <w:tcPr>
            <w:tcW w:w="1578" w:type="dxa"/>
            <w:vAlign w:val="center"/>
          </w:tcPr>
          <w:p w14:paraId="164A216E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修订文本起草</w:t>
            </w:r>
          </w:p>
        </w:tc>
      </w:tr>
      <w:tr w14:paraId="52D4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6734D6A0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赵旗峰</w:t>
            </w:r>
          </w:p>
        </w:tc>
        <w:tc>
          <w:tcPr>
            <w:tcW w:w="892" w:type="dxa"/>
            <w:vAlign w:val="center"/>
          </w:tcPr>
          <w:p w14:paraId="5FD64AB5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男</w:t>
            </w:r>
          </w:p>
        </w:tc>
        <w:tc>
          <w:tcPr>
            <w:tcW w:w="1729" w:type="dxa"/>
          </w:tcPr>
          <w:p w14:paraId="5E3F3DC4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研究员</w:t>
            </w:r>
          </w:p>
        </w:tc>
        <w:tc>
          <w:tcPr>
            <w:tcW w:w="3230" w:type="dxa"/>
            <w:vAlign w:val="center"/>
          </w:tcPr>
          <w:p w14:paraId="118A827A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山西农业大学</w:t>
            </w:r>
          </w:p>
        </w:tc>
        <w:tc>
          <w:tcPr>
            <w:tcW w:w="1578" w:type="dxa"/>
            <w:vAlign w:val="center"/>
          </w:tcPr>
          <w:p w14:paraId="16CE1993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修订文本起草</w:t>
            </w:r>
          </w:p>
        </w:tc>
      </w:tr>
      <w:tr w14:paraId="737EC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0002ACB6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eastAsia="zh-CN"/>
              </w:rPr>
              <w:t>董志刚</w:t>
            </w:r>
          </w:p>
        </w:tc>
        <w:tc>
          <w:tcPr>
            <w:tcW w:w="892" w:type="dxa"/>
            <w:vAlign w:val="center"/>
          </w:tcPr>
          <w:p w14:paraId="296B0762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男</w:t>
            </w:r>
          </w:p>
        </w:tc>
        <w:tc>
          <w:tcPr>
            <w:tcW w:w="1729" w:type="dxa"/>
          </w:tcPr>
          <w:p w14:paraId="71ED98E4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研究员</w:t>
            </w:r>
          </w:p>
        </w:tc>
        <w:tc>
          <w:tcPr>
            <w:tcW w:w="3230" w:type="dxa"/>
            <w:vAlign w:val="center"/>
          </w:tcPr>
          <w:p w14:paraId="65731618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山西农业大学</w:t>
            </w:r>
          </w:p>
        </w:tc>
        <w:tc>
          <w:tcPr>
            <w:tcW w:w="1578" w:type="dxa"/>
            <w:vAlign w:val="center"/>
          </w:tcPr>
          <w:p w14:paraId="71DEEEA2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修订文本起草</w:t>
            </w:r>
          </w:p>
        </w:tc>
      </w:tr>
      <w:tr w14:paraId="2FA90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1527F627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高  飞</w:t>
            </w:r>
          </w:p>
        </w:tc>
        <w:tc>
          <w:tcPr>
            <w:tcW w:w="892" w:type="dxa"/>
            <w:vAlign w:val="center"/>
          </w:tcPr>
          <w:p w14:paraId="2F2276BB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男</w:t>
            </w:r>
          </w:p>
        </w:tc>
        <w:tc>
          <w:tcPr>
            <w:tcW w:w="1729" w:type="dxa"/>
          </w:tcPr>
          <w:p w14:paraId="0E5F5F13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eastAsia="zh-CN"/>
              </w:rPr>
              <w:t>正高级工程师</w:t>
            </w:r>
          </w:p>
        </w:tc>
        <w:tc>
          <w:tcPr>
            <w:tcW w:w="3230" w:type="dxa"/>
            <w:vAlign w:val="center"/>
          </w:tcPr>
          <w:p w14:paraId="66CB60D3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河津市农业农村局</w:t>
            </w:r>
          </w:p>
        </w:tc>
        <w:tc>
          <w:tcPr>
            <w:tcW w:w="1578" w:type="dxa"/>
            <w:vAlign w:val="center"/>
          </w:tcPr>
          <w:p w14:paraId="6E8EB0FD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修订文本起草</w:t>
            </w:r>
          </w:p>
        </w:tc>
      </w:tr>
      <w:tr w14:paraId="58880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08D1A2D5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聂鸿飞</w:t>
            </w:r>
          </w:p>
        </w:tc>
        <w:tc>
          <w:tcPr>
            <w:tcW w:w="892" w:type="dxa"/>
            <w:vAlign w:val="center"/>
          </w:tcPr>
          <w:p w14:paraId="399623C9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男</w:t>
            </w:r>
          </w:p>
        </w:tc>
        <w:tc>
          <w:tcPr>
            <w:tcW w:w="1729" w:type="dxa"/>
          </w:tcPr>
          <w:p w14:paraId="63A22C89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eastAsia="zh-CN"/>
              </w:rPr>
              <w:t>正高级工程师</w:t>
            </w:r>
          </w:p>
        </w:tc>
        <w:tc>
          <w:tcPr>
            <w:tcW w:w="3230" w:type="dxa"/>
            <w:vAlign w:val="center"/>
          </w:tcPr>
          <w:p w14:paraId="4E717232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运城市农业农村局</w:t>
            </w:r>
          </w:p>
        </w:tc>
        <w:tc>
          <w:tcPr>
            <w:tcW w:w="1578" w:type="dxa"/>
            <w:vAlign w:val="center"/>
          </w:tcPr>
          <w:p w14:paraId="30787827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修订文本起草</w:t>
            </w:r>
          </w:p>
        </w:tc>
      </w:tr>
      <w:tr w14:paraId="6B7F1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6C4F0E42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王  敏</w:t>
            </w:r>
          </w:p>
        </w:tc>
        <w:tc>
          <w:tcPr>
            <w:tcW w:w="892" w:type="dxa"/>
            <w:vAlign w:val="center"/>
          </w:tcPr>
          <w:p w14:paraId="549A22D4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女</w:t>
            </w:r>
          </w:p>
        </w:tc>
        <w:tc>
          <w:tcPr>
            <w:tcW w:w="1729" w:type="dxa"/>
          </w:tcPr>
          <w:p w14:paraId="311211DA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副教授</w:t>
            </w:r>
          </w:p>
        </w:tc>
        <w:tc>
          <w:tcPr>
            <w:tcW w:w="3230" w:type="dxa"/>
            <w:vAlign w:val="center"/>
          </w:tcPr>
          <w:p w14:paraId="183FCDC1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山西农业大学</w:t>
            </w:r>
          </w:p>
        </w:tc>
        <w:tc>
          <w:tcPr>
            <w:tcW w:w="1578" w:type="dxa"/>
            <w:vAlign w:val="center"/>
          </w:tcPr>
          <w:p w14:paraId="2D6B3A22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修订文本起草</w:t>
            </w:r>
          </w:p>
        </w:tc>
      </w:tr>
      <w:tr w14:paraId="7AEB5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306112AA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黄丽萍</w:t>
            </w:r>
          </w:p>
        </w:tc>
        <w:tc>
          <w:tcPr>
            <w:tcW w:w="892" w:type="dxa"/>
            <w:vAlign w:val="center"/>
          </w:tcPr>
          <w:p w14:paraId="68946F27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女</w:t>
            </w:r>
          </w:p>
        </w:tc>
        <w:tc>
          <w:tcPr>
            <w:tcW w:w="1729" w:type="dxa"/>
          </w:tcPr>
          <w:p w14:paraId="035A91E4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eastAsia="zh-CN"/>
              </w:rPr>
              <w:t>副研究员</w:t>
            </w:r>
          </w:p>
        </w:tc>
        <w:tc>
          <w:tcPr>
            <w:tcW w:w="3230" w:type="dxa"/>
            <w:vAlign w:val="center"/>
          </w:tcPr>
          <w:p w14:paraId="60ED79D7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山西农业大学</w:t>
            </w:r>
          </w:p>
        </w:tc>
        <w:tc>
          <w:tcPr>
            <w:tcW w:w="1578" w:type="dxa"/>
            <w:vAlign w:val="center"/>
          </w:tcPr>
          <w:p w14:paraId="4C60D009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修订文本起草</w:t>
            </w:r>
          </w:p>
        </w:tc>
      </w:tr>
      <w:tr w14:paraId="22929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0BE1FBB0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王志荣</w:t>
            </w:r>
          </w:p>
        </w:tc>
        <w:tc>
          <w:tcPr>
            <w:tcW w:w="892" w:type="dxa"/>
            <w:vAlign w:val="center"/>
          </w:tcPr>
          <w:p w14:paraId="785D0EEC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男</w:t>
            </w:r>
          </w:p>
        </w:tc>
        <w:tc>
          <w:tcPr>
            <w:tcW w:w="1729" w:type="dxa"/>
          </w:tcPr>
          <w:p w14:paraId="52D64098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eastAsia="zh-CN"/>
              </w:rPr>
              <w:t>技师</w:t>
            </w:r>
          </w:p>
        </w:tc>
        <w:tc>
          <w:tcPr>
            <w:tcW w:w="3230" w:type="dxa"/>
            <w:vAlign w:val="center"/>
          </w:tcPr>
          <w:p w14:paraId="3CB0507E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山西农业大学果树所</w:t>
            </w:r>
          </w:p>
        </w:tc>
        <w:tc>
          <w:tcPr>
            <w:tcW w:w="1578" w:type="dxa"/>
            <w:vAlign w:val="center"/>
          </w:tcPr>
          <w:p w14:paraId="34DD1587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修订文本起草</w:t>
            </w:r>
          </w:p>
        </w:tc>
      </w:tr>
      <w:tr w14:paraId="02DDB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2" w:type="dxa"/>
            <w:vAlign w:val="center"/>
          </w:tcPr>
          <w:p w14:paraId="38E3002A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韩  凯</w:t>
            </w:r>
          </w:p>
        </w:tc>
        <w:tc>
          <w:tcPr>
            <w:tcW w:w="892" w:type="dxa"/>
            <w:vAlign w:val="center"/>
          </w:tcPr>
          <w:p w14:paraId="4940A0E3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男</w:t>
            </w:r>
          </w:p>
        </w:tc>
        <w:tc>
          <w:tcPr>
            <w:tcW w:w="1729" w:type="dxa"/>
          </w:tcPr>
          <w:p w14:paraId="533A13E2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副教授</w:t>
            </w:r>
          </w:p>
        </w:tc>
        <w:tc>
          <w:tcPr>
            <w:tcW w:w="3230" w:type="dxa"/>
            <w:vAlign w:val="center"/>
          </w:tcPr>
          <w:p w14:paraId="1E628473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太原学院</w:t>
            </w:r>
          </w:p>
        </w:tc>
        <w:tc>
          <w:tcPr>
            <w:tcW w:w="1578" w:type="dxa"/>
            <w:vAlign w:val="center"/>
          </w:tcPr>
          <w:p w14:paraId="3E92F21A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修订文本起草</w:t>
            </w:r>
          </w:p>
        </w:tc>
      </w:tr>
      <w:tr w14:paraId="6516A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 w14:paraId="51F50458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李红波</w:t>
            </w:r>
          </w:p>
        </w:tc>
        <w:tc>
          <w:tcPr>
            <w:tcW w:w="892" w:type="dxa"/>
            <w:vAlign w:val="center"/>
          </w:tcPr>
          <w:p w14:paraId="0C4E30B6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val="en-US" w:eastAsia="zh-CN"/>
              </w:rPr>
              <w:t>男</w:t>
            </w:r>
          </w:p>
        </w:tc>
        <w:tc>
          <w:tcPr>
            <w:tcW w:w="1729" w:type="dxa"/>
          </w:tcPr>
          <w:p w14:paraId="7CADBAF3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lang w:eastAsia="zh-CN"/>
              </w:rPr>
              <w:t>副高级工程师</w:t>
            </w:r>
          </w:p>
        </w:tc>
        <w:tc>
          <w:tcPr>
            <w:tcW w:w="3230" w:type="dxa"/>
            <w:vAlign w:val="center"/>
          </w:tcPr>
          <w:p w14:paraId="63F65BE0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河津市宏波葡萄种植专业合作社</w:t>
            </w:r>
          </w:p>
        </w:tc>
        <w:tc>
          <w:tcPr>
            <w:tcW w:w="1578" w:type="dxa"/>
            <w:vAlign w:val="center"/>
          </w:tcPr>
          <w:p w14:paraId="649F6435"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lang w:val="en-US" w:eastAsia="zh-CN"/>
              </w:rPr>
              <w:t>修订文本起草</w:t>
            </w:r>
          </w:p>
        </w:tc>
      </w:tr>
    </w:tbl>
    <w:p w14:paraId="391C9058">
      <w:pPr>
        <w:spacing w:line="360" w:lineRule="auto"/>
        <w:ind w:firstLine="480" w:firstLineChars="200"/>
        <w:outlineLvl w:val="0"/>
        <w:rPr>
          <w:rFonts w:ascii="Times New Roman" w:hAnsi="Times New Roman" w:eastAsia="楷体" w:cs="Times New Roman"/>
          <w:color w:val="auto"/>
          <w:sz w:val="28"/>
          <w:szCs w:val="28"/>
        </w:rPr>
      </w:pPr>
      <w:r>
        <w:rPr>
          <w:rFonts w:ascii="Times New Roman" w:hAnsi="Times New Roman" w:eastAsia="黑体" w:cs="Times New Roman"/>
          <w:color w:val="auto"/>
          <w:sz w:val="24"/>
        </w:rPr>
        <w:t>二、</w:t>
      </w:r>
      <w:r>
        <w:rPr>
          <w:rFonts w:hint="eastAsia" w:ascii="Times New Roman" w:hAnsi="Times New Roman" w:eastAsia="黑体" w:cs="Times New Roman"/>
          <w:color w:val="auto"/>
          <w:sz w:val="24"/>
        </w:rPr>
        <w:t>修</w:t>
      </w:r>
      <w:r>
        <w:rPr>
          <w:rFonts w:ascii="Times New Roman" w:hAnsi="Times New Roman" w:eastAsia="黑体" w:cs="Times New Roman"/>
          <w:color w:val="auto"/>
          <w:sz w:val="24"/>
        </w:rPr>
        <w:t>订标准的必要性和意义</w:t>
      </w:r>
    </w:p>
    <w:p w14:paraId="7089240C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葡萄（</w:t>
      </w:r>
      <w:r>
        <w:rPr>
          <w:rFonts w:hint="eastAsia" w:ascii="Times New Roman" w:hAnsi="Times New Roman" w:eastAsia="仿宋_GB2312" w:cs="Times New Roman"/>
          <w:i/>
          <w:iCs/>
          <w:color w:val="auto"/>
          <w:sz w:val="24"/>
          <w:szCs w:val="24"/>
          <w:lang w:val="en-US" w:eastAsia="zh-CN"/>
        </w:rPr>
        <w:t>Vitis vinifera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 xml:space="preserve"> L.）为葡萄科葡萄属木质藤本植物，在国内外消费市场享有盛誉。我国是世界最大的鲜食葡萄生产国和消费国，山西省是我国十大葡萄种植产区之一，属黄土高原冬季埋土防寒葡萄栽植区，境内丘陵山区土层深厚、海拔高、昼夜温差大、日照充足、降雨量适中，具有生产优质葡萄独特的自然条件。目前，山西省葡萄栽植面积达50万余亩，总产量约52万吨，在农业产业结构调整、促进农民脱贫增收等方面发挥了重要作用。</w:t>
      </w:r>
    </w:p>
    <w:p w14:paraId="2F75E5B5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山西作为传统的葡萄主产区，拥有丰富的葡萄种质资源，拥有全国三大葡萄种质资源圃之一的国家种质资源太谷葡萄圃，资源圃内保存葡萄种质资源716份。作为全国葡萄主产区之一，潜力无限的种苗市场将给山西葡萄产业发展带来新的际遇。近年来，随着葡萄种苗需求的提高，在山西省委、省政府强农惠农政策、种苗提质增效工程、“果业”三品提升工程、种苗标准园创建等政策服务的影响和推动下，山西省葡萄育苗生产技术水平不断提升，技术体系日益完善，葡萄种苗产业技术体系不断优化。但是，在葡萄育苗过程中，普遍存在操作不规范，果农单凭经验育苗，技术失误多的问题，易出现育苗苗龄长、质量差、大小不齐，而且成本高，还往往会因冻害或病虫害等自然灾害造成缺苗等现象，既不能保证对消费者所需葡萄的稳定持续供应和质量稳定，又不能使果农获得稳定持续的经济收入。这样，一方面影响了葡萄市场稳定性，另一方面降低了果农的积极性，最终制约了我省葡萄产业的健康可持续发展。因此，充分发挥我省资源、区位和产业优势，突出特色，抓住重点，塑造品牌，内引外联，大力推进行业资源整合，培育大品种、大品牌、大企业，推动我省葡萄产业优质高效发展，同时，为了进一步规范葡萄标准化育苗技术体系，提高鲜食葡萄的产量和质量，获得较高的经济效益，必须制定具有山西地方特色，并符合新时代要求的鲜食葡萄高效丰产栽培的技术规程，为构建统一市场规则提供技术支撑。</w:t>
      </w:r>
    </w:p>
    <w:p w14:paraId="08782E6A">
      <w:pPr>
        <w:spacing w:line="360" w:lineRule="auto"/>
        <w:ind w:firstLine="480" w:firstLineChars="20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目前我国经济社会快速发展，标准要满足科技日新月异的发展需要，适应市场的快速变化，完善标准体系和标准化管理体制，实施修订标准项目势在必行。《葡萄育苗技术规程（DB14/T 1557-2018）》的实施已</w:t>
      </w:r>
      <w:r>
        <w:rPr>
          <w:rFonts w:hint="eastAsia" w:eastAsia="仿宋_GB2312" w:cs="Times New Roman"/>
          <w:color w:val="auto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年有余，近年来葡萄苗木的生产管理措施不断更新，尤其是机械化等现代手段的融入，使葡萄苗木繁育模式在一定程度上发生了更新。该项目的实施，对更好地推动葡萄种苗行业科技进步，指导我省葡萄产业健康可持续发展，非常必要。</w:t>
      </w:r>
    </w:p>
    <w:p w14:paraId="0674772B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auto"/>
          <w:sz w:val="24"/>
        </w:rPr>
      </w:pPr>
      <w:r>
        <w:rPr>
          <w:rFonts w:ascii="Times New Roman" w:hAnsi="Times New Roman" w:eastAsia="黑体" w:cs="Times New Roman"/>
          <w:color w:val="auto"/>
          <w:sz w:val="24"/>
        </w:rPr>
        <w:t>三、主要</w:t>
      </w:r>
      <w:r>
        <w:rPr>
          <w:rFonts w:hint="eastAsia" w:ascii="Times New Roman" w:hAnsi="Times New Roman" w:eastAsia="黑体" w:cs="Times New Roman"/>
          <w:color w:val="auto"/>
          <w:sz w:val="24"/>
        </w:rPr>
        <w:t>修订</w:t>
      </w:r>
      <w:r>
        <w:rPr>
          <w:rFonts w:ascii="Times New Roman" w:hAnsi="Times New Roman" w:eastAsia="黑体" w:cs="Times New Roman"/>
          <w:color w:val="auto"/>
          <w:sz w:val="24"/>
        </w:rPr>
        <w:t>工作过程</w:t>
      </w:r>
    </w:p>
    <w:p w14:paraId="33E661F7"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bCs/>
          <w:color w:val="auto"/>
          <w:sz w:val="24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</w:rPr>
        <w:t>1、成立标准修订工作组</w:t>
      </w:r>
    </w:p>
    <w:p w14:paraId="65B3E63D"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bCs/>
          <w:color w:val="auto"/>
          <w:sz w:val="24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根据山西省地方标准公告2022年第20号“山西省质量技术监督局关于2022年度省级地方标准复审结论公告”以及山西省农业标准化委员会关于启动实施2022年度省级农业地方标准复审结论中修订计划项目的通知，2023年1月，由山西农业大学提出，修订《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葡萄育苗技术规程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》。接到任务后迅速成立标准修订工作组。</w:t>
      </w:r>
    </w:p>
    <w:p w14:paraId="6D7673D9"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bCs/>
          <w:color w:val="auto"/>
          <w:sz w:val="24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</w:rPr>
        <w:t>2、调研考察</w:t>
      </w:r>
    </w:p>
    <w:p w14:paraId="0769D736"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bCs/>
          <w:color w:val="auto"/>
          <w:sz w:val="24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2023年9月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~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10月初，修订编制小组前往国家种质资源太谷葡萄圃进行考察。</w:t>
      </w:r>
    </w:p>
    <w:p w14:paraId="501A22A2"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bCs/>
          <w:color w:val="auto"/>
          <w:sz w:val="24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</w:rPr>
        <w:t>3、收集资料</w:t>
      </w:r>
    </w:p>
    <w:p w14:paraId="1D630A4C"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color w:val="auto"/>
          <w:sz w:val="24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2023年10月底，修订编制小组认真学习了标准文本起草格式和引用标准的相关知识，初步确定标准的修订内容，开始标准的修订准备。</w:t>
      </w:r>
    </w:p>
    <w:p w14:paraId="2FF4BF99">
      <w:pPr>
        <w:spacing w:line="400" w:lineRule="exact"/>
        <w:ind w:firstLine="480" w:firstLineChars="200"/>
        <w:rPr>
          <w:rFonts w:ascii="Times New Roman" w:hAnsi="Times New Roman" w:eastAsia="仿宋_GB2312" w:cs="Times New Roman"/>
          <w:bCs/>
          <w:color w:val="auto"/>
          <w:sz w:val="24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</w:rPr>
        <w:t>4、修订文本</w:t>
      </w:r>
    </w:p>
    <w:p w14:paraId="1B030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default" w:ascii="Times New Roman" w:hAnsi="Times New Roman" w:eastAsia="仿宋_GB2312" w:cs="Times New Roman"/>
          <w:bCs/>
          <w:color w:val="auto"/>
          <w:sz w:val="24"/>
          <w:lang w:val="en-US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2023年11月，修订编制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小组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着手编制标准文稿修订工作，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完成标准文本草案和相应编制说明的编写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。</w:t>
      </w:r>
    </w:p>
    <w:p w14:paraId="13E891E9">
      <w:pPr>
        <w:numPr>
          <w:ilvl w:val="0"/>
          <w:numId w:val="1"/>
        </w:num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</w:rPr>
      </w:pP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标准审查</w:t>
      </w:r>
    </w:p>
    <w:p w14:paraId="59B437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</w:rPr>
        <w:t>2024年4月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19日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</w:rPr>
        <w:t>，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山西省农业标准委员会组织专家组进行标准审查，审查结果一致通过，并按照专家组意见修改完善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。</w:t>
      </w:r>
    </w:p>
    <w:p w14:paraId="68EBABFC">
      <w:pPr>
        <w:adjustRightInd w:val="0"/>
        <w:snapToGrid w:val="0"/>
        <w:spacing w:line="440" w:lineRule="exact"/>
        <w:ind w:firstLine="480" w:firstLineChars="200"/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</w:pPr>
      <w:r>
        <w:rPr>
          <w:rFonts w:hint="eastAsia" w:eastAsia="仿宋_GB2312" w:cs="Times New Roman"/>
          <w:bCs/>
          <w:color w:val="auto"/>
          <w:sz w:val="24"/>
          <w:szCs w:val="24"/>
          <w:lang w:val="en-US" w:eastAsia="zh-CN"/>
        </w:rPr>
        <w:t>6、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  <w:t>征求意见</w:t>
      </w:r>
    </w:p>
    <w:p w14:paraId="03ADD5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  <w:t>2024年**月**日，标准文本和编制说明报省市场监督管理局挂网向社会公开征求意见</w:t>
      </w:r>
      <w:r>
        <w:rPr>
          <w:rFonts w:hint="eastAsia" w:hAnsi="宋体" w:eastAsia="仿宋_GB2312" w:cs="仿宋_GB2312"/>
          <w:color w:val="auto"/>
          <w:kern w:val="0"/>
          <w:sz w:val="24"/>
          <w:szCs w:val="24"/>
          <w:lang w:val="en-US" w:eastAsia="zh-CN"/>
        </w:rPr>
        <w:t>30天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  <w:t>。</w:t>
      </w:r>
    </w:p>
    <w:p w14:paraId="429BC0D8">
      <w:pPr>
        <w:adjustRightInd w:val="0"/>
        <w:snapToGrid w:val="0"/>
        <w:spacing w:line="440" w:lineRule="exact"/>
        <w:ind w:firstLine="480" w:firstLineChars="200"/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  <w:lang w:val="en-US" w:eastAsia="zh-CN"/>
        </w:rPr>
        <w:t>7、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  <w:t>完善文本</w:t>
      </w:r>
    </w:p>
    <w:p w14:paraId="6477E165">
      <w:pPr>
        <w:adjustRightInd w:val="0"/>
        <w:snapToGrid w:val="0"/>
        <w:spacing w:line="440" w:lineRule="exact"/>
        <w:ind w:firstLine="480" w:firstLineChars="200"/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  <w:t>2024年**月**日，进一步修改完善后形成标准送审稿，报标委会表决。</w:t>
      </w:r>
    </w:p>
    <w:p w14:paraId="6CE0FB02">
      <w:pPr>
        <w:adjustRightInd w:val="0"/>
        <w:snapToGrid w:val="0"/>
        <w:spacing w:line="440" w:lineRule="exact"/>
        <w:ind w:firstLine="480" w:firstLineChars="200"/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</w:pP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  <w:lang w:val="en-US" w:eastAsia="zh-CN"/>
        </w:rPr>
        <w:t>8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  <w:t>、形成报批稿、提交报批材料</w:t>
      </w:r>
    </w:p>
    <w:p w14:paraId="137924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  <w:t>2024年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  <w:lang w:val="en-US" w:eastAsia="zh-CN"/>
        </w:rPr>
        <w:t>**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szCs w:val="24"/>
        </w:rPr>
        <w:t>月**日，在采纳评审专家和挂网公开征求到的意见基础上，对标准文本和编制说明进行补充修改，形成报批稿，提交报批材料。</w:t>
      </w:r>
    </w:p>
    <w:p w14:paraId="0E9E456E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auto"/>
          <w:sz w:val="24"/>
        </w:rPr>
      </w:pPr>
      <w:r>
        <w:rPr>
          <w:rFonts w:hint="eastAsia" w:ascii="Times New Roman" w:hAnsi="Times New Roman" w:eastAsia="黑体" w:cs="Times New Roman"/>
          <w:color w:val="auto"/>
          <w:sz w:val="24"/>
        </w:rPr>
        <w:t>四</w:t>
      </w:r>
      <w:r>
        <w:rPr>
          <w:rFonts w:ascii="Times New Roman" w:hAnsi="Times New Roman" w:eastAsia="黑体" w:cs="Times New Roman"/>
          <w:color w:val="auto"/>
          <w:sz w:val="24"/>
        </w:rPr>
        <w:t>、</w:t>
      </w:r>
      <w:r>
        <w:rPr>
          <w:rFonts w:hint="eastAsia" w:ascii="Times New Roman" w:hAnsi="Times New Roman" w:eastAsia="黑体" w:cs="Times New Roman"/>
          <w:color w:val="auto"/>
          <w:sz w:val="24"/>
          <w:lang w:eastAsia="zh-CN"/>
        </w:rPr>
        <w:t>制修</w:t>
      </w:r>
      <w:r>
        <w:rPr>
          <w:rFonts w:ascii="Times New Roman" w:hAnsi="Times New Roman" w:eastAsia="黑体" w:cs="Times New Roman"/>
          <w:color w:val="auto"/>
          <w:sz w:val="24"/>
        </w:rPr>
        <w:t>订标准的原则和依据，与现行法律、法规、标准的关系</w:t>
      </w:r>
    </w:p>
    <w:p w14:paraId="618AC775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（一）编制原则</w:t>
      </w:r>
    </w:p>
    <w:p w14:paraId="5F06C59B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1、科学性原则</w:t>
      </w:r>
    </w:p>
    <w:p w14:paraId="1F7D6F44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本文件按照GB/T 1.1-2020《标准化工作导则 第1部分：标准化文件的结构和起草规则》的规定起草。</w:t>
      </w:r>
    </w:p>
    <w:p w14:paraId="35513F56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2、适用性原则</w:t>
      </w:r>
    </w:p>
    <w:p w14:paraId="02DC3862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本标准编制充分考虑到标准的完整性、先进性和实用性，特别是可操作性，确保通过本标准的实施，能够使葡萄育苗更加简单方便，规范地葡萄育苗各项管理技术参数，提高葡萄的产量和质量，增加葡萄产业的经济效益和生态效益，促进地方经济发展。</w:t>
      </w:r>
    </w:p>
    <w:p w14:paraId="13C76413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3、规范性原则</w:t>
      </w:r>
    </w:p>
    <w:p w14:paraId="6017A4D3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本标准以充分发挥葡萄育苗的经济、生态和社会效益为原则，参照国家有关环境空气质量标准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农田灌溉水质标准、农药合理使用准则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、土壤环境质量 农用地土壤污染风险管控标准（试行）、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葡萄苗木、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fldChar w:fldCharType="begin"/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instrText xml:space="preserve"> HYPERLINK "http://www.bz100.cn/bzquery/search/standard!searchByIdInfo.action?id=8DFB18D246404F85B751879284E894AE&amp;ouidop=402881b436e7105a0136e80033430002" </w:instrTex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fldChar w:fldCharType="separate"/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葡萄产地环境技术条件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fldChar w:fldCharType="end"/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fldChar w:fldCharType="begin"/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instrText xml:space="preserve"> HYPERLINK "http://www.bz100.cn/bzquery/search/standard!searchByIdInfo.action?id=B490FDAA7DD649F9A413E5990C4B4F6C&amp;ouidop=402881b436e7105a0136e80033430002" </w:instrTex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fldChar w:fldCharType="separate"/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葡萄无病毒母本树和苗木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fldChar w:fldCharType="end"/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、葡萄苗木繁育技术规程、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葡萄病虫害防治技术规程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等来编制各项内容。</w:t>
      </w:r>
    </w:p>
    <w:p w14:paraId="3B1A084A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（二）技术指标确定的依据</w:t>
      </w:r>
    </w:p>
    <w:p w14:paraId="55DD27BD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《葡萄育苗技术规程》标准修订文本中涉及的主要技术指标，均是基于课题组前期大量调研工作，并结合多年多次重复试验，不断调试技术参数和配置的基础上总结确定的。</w:t>
      </w:r>
    </w:p>
    <w:p w14:paraId="027580D8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（三）与有关现行法律、法规的关系</w:t>
      </w:r>
    </w:p>
    <w:p w14:paraId="7C3535AC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《葡萄育苗技术规程》的制定符合《中华人民共和国农产品质量安全法》等多项法律法规的规定与要求。同时与现行相关的行业标准相符。本标准更加符合我省的情况，更加具体化、区域化，更具有实际价值。</w:t>
      </w:r>
    </w:p>
    <w:p w14:paraId="4C1B57A3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（四）与国家标准、行业标准以及与相关地方标准的联系与区别</w:t>
      </w:r>
    </w:p>
    <w:p w14:paraId="78796677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本标准的编制是参考现行行业标准与地方标准进行编制，与其没有冲突，并依据山西省气候特点和生态环境，对其进行了补充完善，符合国家标准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“环境空气质量标准”、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“农田灌溉水质标准”、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“农药合理使用准则”、“土壤环境质量 农用地土壤污染风险管控标准（试行）”、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“葡萄苗木”、“葡萄产地环境技术条件”、“葡萄无病毒母本树和苗木”、“葡萄苗木繁育技术规程”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和“葡萄病虫害防治技术”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的内容，并参考了其他省市的关于葡萄育苗技术方面的标准，我们所制定的标准，更加符合我省的情况，更加具体化、区域化，更具有实际价值。</w:t>
      </w:r>
    </w:p>
    <w:p w14:paraId="3CC55A04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auto"/>
          <w:sz w:val="24"/>
        </w:rPr>
      </w:pPr>
      <w:r>
        <w:rPr>
          <w:rFonts w:hint="eastAsia" w:ascii="Times New Roman" w:hAnsi="Times New Roman" w:eastAsia="黑体" w:cs="Times New Roman"/>
          <w:color w:val="auto"/>
          <w:sz w:val="24"/>
        </w:rPr>
        <w:t>五</w:t>
      </w:r>
      <w:r>
        <w:rPr>
          <w:rFonts w:ascii="Times New Roman" w:hAnsi="Times New Roman" w:eastAsia="黑体" w:cs="Times New Roman"/>
          <w:color w:val="auto"/>
          <w:sz w:val="24"/>
        </w:rPr>
        <w:t>、主要条款的说明，主要技术指标、参数、试验验证的分析、综合论述</w:t>
      </w:r>
    </w:p>
    <w:p w14:paraId="4ACEC731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（一）主要条款的说明</w:t>
      </w:r>
    </w:p>
    <w:p w14:paraId="5ECD3FEA">
      <w:p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标准起草组以“合法性、安全性、适应性、协调性和先进性”为修订原则，以文本结构更加合理、表述更加准确、技术指标更加科学为修订目标，从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个方面对文本进行了修订，其中：</w:t>
      </w:r>
    </w:p>
    <w:p w14:paraId="0CD2FD9A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1、涉及结构性调整的主要有3项：</w:t>
      </w:r>
    </w:p>
    <w:p w14:paraId="4214852C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（1）增加了“生产档案管理”章节。修订原因：为实现苗木生产全过程可追溯，规范化种植，增加生产档案管理部分内容。</w:t>
      </w:r>
    </w:p>
    <w:p w14:paraId="7885A35F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（2）增加了“附录A（资料性）  葡萄苗期主要病害防治方法”。修订原因：详细说明主要病虫害及其防治的方法。</w:t>
      </w:r>
    </w:p>
    <w:p w14:paraId="2FDDD37F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（3）增加了“附录B（资料性）  葡萄苗木生产记录档案”。修订原因：为实现苗木生产全过程可追溯，规范化种植，添加生产记录档案。</w:t>
      </w:r>
    </w:p>
    <w:p w14:paraId="2621A2A0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、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涉及规范性引用文件修改的有7项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：</w:t>
      </w:r>
    </w:p>
    <w:p w14:paraId="58C4FBE3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（1）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删除了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 xml:space="preserve">“NY/T 394 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绿色食品 肥料使用准则”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。修订原因：该引用文件太符合该文本具体内容因此删除。</w:t>
      </w:r>
    </w:p>
    <w:p w14:paraId="03EC7805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（2）删除了“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ab/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NY/T 5010  无公害农产品 种植业产地环境条件现行”。该引用文件太符合该文本具体内容因此删除。</w:t>
      </w:r>
    </w:p>
    <w:p w14:paraId="66D1CE7C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（3）增加了“GB 3095  环境空气质量标准”。修订原因：根据标准修订需要，引用该文件。</w:t>
      </w:r>
    </w:p>
    <w:p w14:paraId="67C26D57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（4）增加了“GB/T 8321（所有部分）  农药合理使用准则”。修订原因：文本增加对主要病虫害防治内容，因此增加该引用文件。</w:t>
      </w:r>
    </w:p>
    <w:p w14:paraId="730AB90B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 xml:space="preserve">（5）增加了“GB 15618  </w:t>
      </w:r>
      <w:r>
        <w:rPr>
          <w:rFonts w:hint="eastAsia" w:ascii="Times New Roman"/>
          <w:color w:val="auto"/>
          <w:kern w:val="2"/>
          <w14:ligatures w14:val="standardContextual"/>
        </w:rPr>
        <w:t>土壤环境质量 农用地土壤污染风险管控标准（试行）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”。修订原因：根据标准修订需要，引用该文件。</w:t>
      </w:r>
    </w:p>
    <w:p w14:paraId="79E04F23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ascii="Times New Roman" w:hAnsi="Times New Roman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（6）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增加了“NY/T 496  肥料合理使用准则 通则”。修订原因：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替换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 xml:space="preserve">NY/T 394 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绿色食品 肥料使用准则。</w:t>
      </w:r>
    </w:p>
    <w:p w14:paraId="60448293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（7）增加了“NY/T 3413  葡萄病虫害防治技术规程”。修订原因</w:t>
      </w:r>
      <w:r>
        <w:rPr>
          <w:rFonts w:hint="eastAsia" w:eastAsia="仿宋_GB2312" w:cs="Times New Roman"/>
          <w:bCs/>
          <w:color w:val="auto"/>
          <w:sz w:val="24"/>
          <w:highlight w:val="none"/>
          <w:lang w:val="en-US" w:eastAsia="zh-CN"/>
        </w:rPr>
        <w:t>：根据标准修订需要，引用该文件。</w:t>
      </w:r>
    </w:p>
    <w:p w14:paraId="07909E9B">
      <w:pPr>
        <w:numPr>
          <w:ilvl w:val="0"/>
          <w:numId w:val="0"/>
        </w:numPr>
        <w:spacing w:line="400" w:lineRule="exact"/>
        <w:ind w:firstLine="480" w:firstLineChars="200"/>
        <w:rPr>
          <w:rFonts w:hint="default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3</w:t>
      </w:r>
      <w:r>
        <w:rPr>
          <w:rFonts w:hint="default" w:eastAsia="仿宋_GB2312" w:cs="Times New Roman"/>
          <w:bCs/>
          <w:color w:val="auto"/>
          <w:sz w:val="24"/>
          <w:lang w:val="en-US" w:eastAsia="zh-CN"/>
        </w:rPr>
        <w:t>、涉及标准内容修改的有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1</w:t>
      </w:r>
      <w:r>
        <w:rPr>
          <w:rFonts w:hint="default" w:eastAsia="仿宋_GB2312" w:cs="Times New Roman"/>
          <w:bCs/>
          <w:color w:val="auto"/>
          <w:sz w:val="24"/>
          <w:lang w:val="en-US" w:eastAsia="zh-CN"/>
        </w:rPr>
        <w:t>项：</w:t>
      </w:r>
    </w:p>
    <w:p w14:paraId="1BF44DFD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eastAsia="仿宋_GB2312" w:cs="Times New Roman"/>
          <w:bCs/>
          <w:color w:val="auto"/>
          <w:sz w:val="24"/>
          <w:lang w:val="en-US" w:eastAsia="zh-CN"/>
        </w:rPr>
      </w:pP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（1）增加了“病虫害防治”部分内容。修订原因：根据生产实际情况修改。</w:t>
      </w:r>
    </w:p>
    <w:p w14:paraId="21FA975B">
      <w:pPr>
        <w:spacing w:line="360" w:lineRule="auto"/>
        <w:ind w:firstLine="480" w:firstLineChars="200"/>
        <w:outlineLvl w:val="0"/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二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）主要技术指标、参数</w:t>
      </w:r>
    </w:p>
    <w:p w14:paraId="34C600F0">
      <w:pPr>
        <w:spacing w:line="360" w:lineRule="auto"/>
        <w:ind w:firstLine="480" w:firstLineChars="200"/>
        <w:outlineLvl w:val="0"/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 xml:space="preserve">行距为20 cm，株距为15 cm。扦插前，将插条基部在浓度100 mg/kg~300 mg/kg萘乙酸溶液中速蘸3 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s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 xml:space="preserve">~5 </w:t>
      </w:r>
      <w:r>
        <w:rPr>
          <w:rFonts w:hint="eastAsia" w:eastAsia="仿宋_GB2312" w:cs="Times New Roman"/>
          <w:bCs/>
          <w:color w:val="auto"/>
          <w:sz w:val="24"/>
          <w:lang w:val="en-US" w:eastAsia="zh-CN"/>
        </w:rPr>
        <w:t>s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。</w:t>
      </w:r>
    </w:p>
    <w:p w14:paraId="3D2C13CF">
      <w:pPr>
        <w:spacing w:line="360" w:lineRule="auto"/>
        <w:ind w:firstLine="480" w:firstLineChars="200"/>
        <w:outlineLvl w:val="0"/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val="en-US" w:eastAsia="zh-CN"/>
        </w:rPr>
        <w:t>三</w:t>
      </w: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）试验验证</w:t>
      </w:r>
    </w:p>
    <w:p w14:paraId="3D148D31">
      <w:pPr>
        <w:spacing w:line="360" w:lineRule="auto"/>
        <w:ind w:firstLine="480" w:firstLineChars="200"/>
        <w:outlineLvl w:val="0"/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行距、株距：编制小组在编制标准前，设置不同行距和株距，不断大量调研及试验，根据不同行距和株距下种栽的生长情况，统计种栽萌发整齐度及萌发率。整体来看，行距为20 cm、株距为15 cm，种栽萌发整齐并发芽率达到最高。若行距和株距过窄，种栽萌发整齐度和发芽率均处于较低水平；若行距和株距过宽，易导致密度过大，亩产量减少，不利于我省葡萄育苗产业的发展。</w:t>
      </w:r>
    </w:p>
    <w:p w14:paraId="4C26959A">
      <w:pPr>
        <w:spacing w:line="360" w:lineRule="auto"/>
        <w:ind w:firstLine="480" w:firstLineChars="200"/>
        <w:outlineLvl w:val="0"/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bCs/>
          <w:color w:val="auto"/>
          <w:sz w:val="24"/>
          <w:lang w:eastAsia="zh-CN"/>
        </w:rPr>
        <w:t>催根：编制小组在编制标准前，设置不同萘乙酸溶液浓度，不断大量调研及试验，根据不同浓度萘乙酸处理后的生长情况，统计葡萄枝条的生根量。整体来看，将插条基部在浓度100 mg/kg~300 mg/kg萘乙酸溶液中速蘸3 s~5 s，生根量达到最高。若浓度过高或者过低，都不利于生根，同时不利于我省葡萄育苗产业的发展。</w:t>
      </w:r>
    </w:p>
    <w:p w14:paraId="17CBD8B5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auto"/>
          <w:sz w:val="24"/>
        </w:rPr>
      </w:pPr>
      <w:r>
        <w:rPr>
          <w:rFonts w:hint="eastAsia" w:ascii="Times New Roman" w:hAnsi="Times New Roman" w:eastAsia="黑体" w:cs="Times New Roman"/>
          <w:color w:val="auto"/>
          <w:sz w:val="24"/>
        </w:rPr>
        <w:t>六</w:t>
      </w:r>
      <w:r>
        <w:rPr>
          <w:rFonts w:ascii="Times New Roman" w:hAnsi="Times New Roman" w:eastAsia="黑体" w:cs="Times New Roman"/>
          <w:color w:val="auto"/>
          <w:sz w:val="24"/>
        </w:rPr>
        <w:t>、</w:t>
      </w:r>
      <w:r>
        <w:rPr>
          <w:rFonts w:hint="eastAsia" w:ascii="Times New Roman" w:hAnsi="Times New Roman" w:eastAsia="黑体" w:cs="Times New Roman"/>
          <w:color w:val="auto"/>
          <w:sz w:val="24"/>
        </w:rPr>
        <w:t>重大</w:t>
      </w:r>
      <w:r>
        <w:rPr>
          <w:rFonts w:ascii="Times New Roman" w:hAnsi="Times New Roman" w:eastAsia="黑体" w:cs="Times New Roman"/>
          <w:color w:val="auto"/>
          <w:sz w:val="24"/>
        </w:rPr>
        <w:t>意见分歧的处理依据和结果</w:t>
      </w:r>
    </w:p>
    <w:p w14:paraId="3226477E">
      <w:pPr>
        <w:spacing w:line="360" w:lineRule="auto"/>
        <w:ind w:firstLine="480" w:firstLineChars="200"/>
        <w:jc w:val="left"/>
        <w:rPr>
          <w:rFonts w:hint="eastAsia" w:ascii="Times New Roman" w:hAnsi="Times New Roman" w:eastAsia="仿宋_GB2312" w:cs="Times New Roman"/>
          <w:color w:val="auto"/>
          <w:sz w:val="24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lang w:eastAsia="zh-CN"/>
        </w:rPr>
        <w:t>本标准共征求了河津市林业局、河津市博润农业有限公司、太谷县绿美园林绿化工程有限公司、祁县西六支农业开发专业合作社、运城市盐湖区果业发展中心等单位多位专家的意见。专家在文本结构、术语应用、文字描述和检验方法等方面提出多条意见，全部采纳，具体反馈见附件1。</w:t>
      </w:r>
    </w:p>
    <w:p w14:paraId="240B0F28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auto"/>
          <w:sz w:val="24"/>
        </w:rPr>
      </w:pPr>
      <w:r>
        <w:rPr>
          <w:rFonts w:hint="eastAsia" w:ascii="Times New Roman" w:hAnsi="Times New Roman" w:eastAsia="黑体" w:cs="Times New Roman"/>
          <w:color w:val="auto"/>
          <w:sz w:val="24"/>
        </w:rPr>
        <w:t>七</w:t>
      </w:r>
      <w:r>
        <w:rPr>
          <w:rFonts w:ascii="Times New Roman" w:hAnsi="Times New Roman" w:eastAsia="黑体" w:cs="Times New Roman"/>
          <w:color w:val="auto"/>
          <w:sz w:val="24"/>
        </w:rPr>
        <w:t>、</w:t>
      </w:r>
      <w:r>
        <w:rPr>
          <w:rFonts w:hint="eastAsia" w:ascii="Times New Roman" w:hAnsi="Times New Roman" w:eastAsia="黑体" w:cs="Times New Roman"/>
          <w:color w:val="auto"/>
          <w:sz w:val="24"/>
        </w:rPr>
        <w:t>采标</w:t>
      </w:r>
      <w:r>
        <w:rPr>
          <w:rFonts w:ascii="Times New Roman" w:hAnsi="Times New Roman" w:eastAsia="黑体" w:cs="Times New Roman"/>
          <w:color w:val="auto"/>
          <w:sz w:val="24"/>
        </w:rPr>
        <w:t>情况，是否合规引用或采用国际标准和国外先进标准，以及与国内外同类标准水平的对比情况</w:t>
      </w:r>
    </w:p>
    <w:p w14:paraId="151C194C">
      <w:pPr>
        <w:spacing w:line="360" w:lineRule="auto"/>
        <w:ind w:firstLine="480" w:firstLineChars="200"/>
        <w:outlineLvl w:val="0"/>
        <w:rPr>
          <w:rFonts w:hint="default" w:ascii="Times New Roman" w:hAnsi="Times New Roman" w:eastAsia="仿宋_GB2312" w:cs="Times New Roman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>本标准的编制是参考现行地方标准进行编制，与其没有冲突。在葡萄育苗技术规范领域，国内外均无相关的标准。本标准将充分参考和借鉴已有的相关研究和相关标准取得的成果，进行深入的标准研究与编制。本标准符合我省的情况，具体化、区域化，具有实际价值。</w:t>
      </w:r>
    </w:p>
    <w:p w14:paraId="31DF6302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auto"/>
          <w:sz w:val="24"/>
        </w:rPr>
      </w:pPr>
      <w:r>
        <w:rPr>
          <w:rFonts w:hint="eastAsia" w:ascii="Times New Roman" w:hAnsi="Times New Roman" w:eastAsia="黑体" w:cs="Times New Roman"/>
          <w:color w:val="auto"/>
          <w:sz w:val="24"/>
        </w:rPr>
        <w:t>八</w:t>
      </w:r>
      <w:r>
        <w:rPr>
          <w:rFonts w:hint="eastAsia" w:ascii="Times New Roman" w:hAnsi="Times New Roman" w:eastAsia="黑体" w:cs="Times New Roman"/>
          <w:color w:val="auto"/>
          <w:sz w:val="24"/>
          <w:lang w:eastAsia="zh-CN"/>
        </w:rPr>
        <w:t>、</w:t>
      </w:r>
      <w:r>
        <w:rPr>
          <w:rFonts w:hint="eastAsia" w:ascii="Times New Roman" w:hAnsi="Times New Roman" w:eastAsia="黑体" w:cs="Times New Roman"/>
          <w:color w:val="auto"/>
          <w:sz w:val="24"/>
          <w:szCs w:val="24"/>
        </w:rPr>
        <w:t>作为推荐性标准或者强制性标准的建议及其理由。</w:t>
      </w:r>
    </w:p>
    <w:p w14:paraId="343F20A3">
      <w:pPr>
        <w:spacing w:line="360" w:lineRule="auto"/>
        <w:ind w:firstLine="480" w:firstLineChars="200"/>
        <w:jc w:val="left"/>
        <w:rPr>
          <w:rFonts w:ascii="Times New Roman" w:hAnsi="Times New Roman" w:eastAsia="仿宋_GB2312" w:cs="Times New Roman"/>
          <w:color w:val="auto"/>
          <w:sz w:val="24"/>
        </w:rPr>
      </w:pPr>
      <w:r>
        <w:rPr>
          <w:rFonts w:ascii="Times New Roman" w:hAnsi="Times New Roman" w:eastAsia="仿宋_GB2312" w:cs="Times New Roman"/>
          <w:color w:val="auto"/>
          <w:sz w:val="24"/>
        </w:rPr>
        <w:t>建议本标准为推荐性标准。</w:t>
      </w:r>
    </w:p>
    <w:p w14:paraId="0312B81F">
      <w:pPr>
        <w:spacing w:line="360" w:lineRule="auto"/>
        <w:ind w:firstLine="480" w:firstLineChars="200"/>
        <w:outlineLvl w:val="0"/>
        <w:rPr>
          <w:rFonts w:ascii="Times New Roman" w:hAnsi="Times New Roman" w:eastAsia="黑体" w:cs="Times New Roman"/>
          <w:color w:val="auto"/>
          <w:sz w:val="24"/>
        </w:rPr>
      </w:pPr>
      <w:r>
        <w:rPr>
          <w:rFonts w:hint="eastAsia" w:ascii="Times New Roman" w:hAnsi="Times New Roman" w:eastAsia="黑体" w:cs="Times New Roman"/>
          <w:color w:val="auto"/>
          <w:sz w:val="24"/>
        </w:rPr>
        <w:t>九</w:t>
      </w:r>
      <w:r>
        <w:rPr>
          <w:rFonts w:ascii="Times New Roman" w:hAnsi="Times New Roman" w:eastAsia="黑体" w:cs="Times New Roman"/>
          <w:color w:val="auto"/>
          <w:sz w:val="24"/>
        </w:rPr>
        <w:t>、</w:t>
      </w:r>
      <w:r>
        <w:rPr>
          <w:rFonts w:hint="eastAsia" w:ascii="Times New Roman" w:hAnsi="Times New Roman" w:eastAsia="黑体" w:cs="Times New Roman"/>
          <w:color w:val="auto"/>
          <w:sz w:val="24"/>
        </w:rPr>
        <w:t>实施</w:t>
      </w:r>
      <w:r>
        <w:rPr>
          <w:rFonts w:ascii="Times New Roman" w:hAnsi="Times New Roman" w:eastAsia="黑体" w:cs="Times New Roman"/>
          <w:color w:val="auto"/>
          <w:sz w:val="24"/>
        </w:rPr>
        <w:t>标准的措施建议</w:t>
      </w:r>
    </w:p>
    <w:p w14:paraId="350AA509">
      <w:pPr>
        <w:spacing w:line="360" w:lineRule="auto"/>
        <w:ind w:firstLine="480" w:firstLineChars="200"/>
        <w:jc w:val="left"/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>（一）加大标准的宣传力度</w:t>
      </w:r>
    </w:p>
    <w:p w14:paraId="50651329">
      <w:pPr>
        <w:spacing w:line="360" w:lineRule="auto"/>
        <w:ind w:firstLine="480" w:firstLineChars="200"/>
        <w:jc w:val="left"/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>标准颁布实施后，通过各类媒体，如报纸、杂志、期刊以及专业网站等，利用多种形式进行宣传，尽力加大宣传力度，对本标准进行介绍。同时，加强对农村技术人员的培训，进行现场介绍并推广本标准。</w:t>
      </w:r>
    </w:p>
    <w:p w14:paraId="54D23E59">
      <w:pPr>
        <w:spacing w:line="360" w:lineRule="auto"/>
        <w:ind w:firstLine="480" w:firstLineChars="200"/>
        <w:jc w:val="left"/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>（二）建立葡萄育苗规范化种植基地，带动标准的大力推广</w:t>
      </w:r>
    </w:p>
    <w:p w14:paraId="2F2E97A0">
      <w:pPr>
        <w:spacing w:line="360" w:lineRule="auto"/>
        <w:ind w:firstLine="480" w:firstLineChars="200"/>
        <w:jc w:val="left"/>
        <w:rPr>
          <w:rFonts w:hint="default" w:ascii="Times New Roman" w:hAnsi="Times New Roman" w:eastAsia="仿宋_GB2312" w:cs="Times New Roman"/>
          <w:color w:val="auto"/>
          <w:sz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>结合葡萄基地建设项目，建立优质的葡萄苗木繁育基地，建立健全专业合作组织。在示范合作社的带动引领下，实行种植、采收、加工、销售品牌化，实现“种-加-销”等一体化，形成利益共享、风险共担、相互制约的合作机制，从而推进我省葡萄产业的持续发展，促使农村社会稳定、和谐发展，以带动本标准的实施推广。</w:t>
      </w:r>
    </w:p>
    <w:p w14:paraId="54EAD57F">
      <w:pPr>
        <w:spacing w:line="360" w:lineRule="auto"/>
        <w:ind w:firstLine="480" w:firstLineChars="200"/>
        <w:jc w:val="left"/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sectPr>
          <w:footerReference r:id="rId5" w:type="first"/>
          <w:footerReference r:id="rId4" w:type="default"/>
          <w:pgSz w:w="11906" w:h="16838"/>
          <w:pgMar w:top="1440" w:right="1803" w:bottom="1440" w:left="1803" w:header="851" w:footer="992" w:gutter="0"/>
          <w:pgNumType w:fmt="decimal" w:start="1"/>
          <w:cols w:space="0" w:num="1"/>
          <w:rtlGutter w:val="0"/>
          <w:docGrid w:type="lines" w:linePitch="319" w:charSpace="0"/>
        </w:sectPr>
      </w:pPr>
    </w:p>
    <w:p w14:paraId="70929366">
      <w:pPr>
        <w:adjustRightInd w:val="0"/>
        <w:snapToGrid w:val="0"/>
        <w:spacing w:line="440" w:lineRule="exact"/>
        <w:rPr>
          <w:rFonts w:ascii="Times New Roman" w:hAnsi="宋体" w:eastAsia="仿宋_GB2312" w:cs="仿宋_GB2312"/>
          <w:b/>
          <w:bCs/>
          <w:color w:val="auto"/>
          <w:kern w:val="0"/>
          <w:sz w:val="28"/>
          <w:szCs w:val="28"/>
        </w:rPr>
      </w:pPr>
      <w:r>
        <w:rPr>
          <w:rFonts w:hint="eastAsia" w:ascii="Times New Roman" w:hAnsi="宋体" w:eastAsia="仿宋_GB2312" w:cs="仿宋_GB2312"/>
          <w:b/>
          <w:bCs/>
          <w:color w:val="auto"/>
          <w:kern w:val="0"/>
          <w:sz w:val="28"/>
          <w:szCs w:val="28"/>
        </w:rPr>
        <w:t>附件</w:t>
      </w:r>
      <w:r>
        <w:rPr>
          <w:rFonts w:hint="eastAsia" w:hAnsi="宋体" w:eastAsia="仿宋_GB2312" w:cs="仿宋_GB2312"/>
          <w:b/>
          <w:bCs/>
          <w:color w:val="auto"/>
          <w:kern w:val="0"/>
          <w:sz w:val="28"/>
          <w:szCs w:val="28"/>
          <w:lang w:val="en-US" w:eastAsia="zh-CN"/>
        </w:rPr>
        <w:t>1</w:t>
      </w:r>
      <w:r>
        <w:rPr>
          <w:rFonts w:hint="eastAsia" w:ascii="Times New Roman" w:hAnsi="宋体" w:eastAsia="仿宋_GB2312" w:cs="仿宋_GB2312"/>
          <w:b/>
          <w:bCs/>
          <w:color w:val="auto"/>
          <w:kern w:val="0"/>
          <w:sz w:val="28"/>
          <w:szCs w:val="28"/>
        </w:rPr>
        <w:t>：</w:t>
      </w:r>
    </w:p>
    <w:p w14:paraId="064704E0">
      <w:pPr>
        <w:adjustRightInd w:val="0"/>
        <w:snapToGrid w:val="0"/>
        <w:spacing w:line="440" w:lineRule="exact"/>
        <w:ind w:firstLine="562" w:firstLineChars="200"/>
        <w:jc w:val="center"/>
        <w:rPr>
          <w:rFonts w:ascii="Times New Roman" w:hAnsi="宋体" w:eastAsia="仿宋_GB2312" w:cs="仿宋_GB2312"/>
          <w:b/>
          <w:bCs/>
          <w:color w:val="auto"/>
          <w:kern w:val="0"/>
          <w:sz w:val="32"/>
          <w:szCs w:val="32"/>
        </w:rPr>
      </w:pPr>
      <w:r>
        <w:rPr>
          <w:rFonts w:hint="eastAsia" w:ascii="Times New Roman" w:hAnsi="宋体" w:eastAsia="仿宋_GB2312" w:cs="仿宋_GB2312"/>
          <w:b/>
          <w:bCs/>
          <w:color w:val="auto"/>
          <w:kern w:val="0"/>
          <w:sz w:val="28"/>
          <w:szCs w:val="28"/>
        </w:rPr>
        <w:t>《葡萄育苗技术规程》地方标准征求意见汇总处理表</w:t>
      </w:r>
    </w:p>
    <w:p w14:paraId="296B9F44">
      <w:pPr>
        <w:adjustRightInd w:val="0"/>
        <w:snapToGrid w:val="0"/>
        <w:spacing w:line="240" w:lineRule="atLeast"/>
        <w:ind w:right="105" w:rightChars="50"/>
        <w:rPr>
          <w:rFonts w:hint="eastAsia" w:ascii="Times New Roman" w:hAnsi="宋体" w:eastAsia="仿宋_GB2312" w:cs="仿宋_GB2312"/>
          <w:color w:val="auto"/>
          <w:kern w:val="0"/>
          <w:sz w:val="24"/>
        </w:rPr>
      </w:pPr>
    </w:p>
    <w:p w14:paraId="0C86A52A">
      <w:pPr>
        <w:adjustRightInd w:val="0"/>
        <w:snapToGrid w:val="0"/>
        <w:spacing w:line="240" w:lineRule="atLeast"/>
        <w:ind w:right="105" w:rightChars="50"/>
        <w:rPr>
          <w:rFonts w:hint="eastAsia" w:ascii="Times New Roman" w:hAnsi="宋体" w:eastAsia="仿宋_GB2312" w:cs="仿宋_GB2312"/>
          <w:color w:val="auto"/>
          <w:kern w:val="0"/>
          <w:sz w:val="24"/>
        </w:rPr>
      </w:pPr>
      <w:r>
        <w:rPr>
          <w:rFonts w:hint="eastAsia" w:ascii="Times New Roman" w:hAnsi="宋体" w:eastAsia="仿宋_GB2312" w:cs="仿宋_GB2312"/>
          <w:color w:val="auto"/>
          <w:kern w:val="0"/>
          <w:sz w:val="24"/>
        </w:rPr>
        <w:t>起草单位：山西农业大学</w:t>
      </w:r>
      <w:r>
        <w:rPr>
          <w:rFonts w:ascii="Times New Roman" w:hAnsi="宋体" w:eastAsia="仿宋_GB2312" w:cs="仿宋_GB2312"/>
          <w:color w:val="auto"/>
          <w:kern w:val="0"/>
          <w:sz w:val="24"/>
        </w:rPr>
        <w:t xml:space="preserve">            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</w:rPr>
        <w:t>承办人：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lang w:val="en-US" w:eastAsia="zh-CN"/>
        </w:rPr>
        <w:t>纪薇</w:t>
      </w:r>
      <w:r>
        <w:rPr>
          <w:rFonts w:ascii="Times New Roman" w:hAnsi="宋体" w:eastAsia="仿宋_GB2312" w:cs="仿宋_GB2312"/>
          <w:color w:val="auto"/>
          <w:kern w:val="0"/>
          <w:sz w:val="24"/>
        </w:rPr>
        <w:t xml:space="preserve">             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</w:rPr>
        <w:t>联系电话：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18404969638</w:t>
      </w:r>
      <w:r>
        <w:rPr>
          <w:rFonts w:ascii="Times New Roman" w:hAnsi="宋体" w:eastAsia="仿宋_GB2312" w:cs="仿宋_GB2312"/>
          <w:color w:val="auto"/>
          <w:kern w:val="0"/>
          <w:sz w:val="24"/>
        </w:rPr>
        <w:t xml:space="preserve">       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</w:rPr>
        <w:t xml:space="preserve"> 填写时间：</w:t>
      </w:r>
      <w:r>
        <w:rPr>
          <w:rFonts w:ascii="Times New Roman" w:hAnsi="宋体" w:eastAsia="仿宋_GB2312" w:cs="仿宋_GB2312"/>
          <w:color w:val="auto"/>
          <w:kern w:val="0"/>
          <w:sz w:val="24"/>
        </w:rPr>
        <w:t>202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lang w:val="en-US" w:eastAsia="zh-CN"/>
        </w:rPr>
        <w:t>4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</w:rPr>
        <w:t>年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lang w:val="en-US" w:eastAsia="zh-CN"/>
        </w:rPr>
        <w:t>1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</w:rPr>
        <w:t>月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  <w:lang w:val="en-US" w:eastAsia="zh-CN"/>
        </w:rPr>
        <w:t>10</w:t>
      </w:r>
      <w:r>
        <w:rPr>
          <w:rFonts w:hint="eastAsia" w:ascii="Times New Roman" w:hAnsi="宋体" w:eastAsia="仿宋_GB2312" w:cs="仿宋_GB2312"/>
          <w:color w:val="auto"/>
          <w:kern w:val="0"/>
          <w:sz w:val="24"/>
        </w:rPr>
        <w:t>日</w:t>
      </w:r>
    </w:p>
    <w:tbl>
      <w:tblPr>
        <w:tblStyle w:val="4"/>
        <w:tblW w:w="1462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"/>
        <w:gridCol w:w="1298"/>
        <w:gridCol w:w="5379"/>
        <w:gridCol w:w="3665"/>
        <w:gridCol w:w="1702"/>
        <w:gridCol w:w="2080"/>
      </w:tblGrid>
      <w:tr w14:paraId="673996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499" w:type="dxa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78E178F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1298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37AA885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标准章条编号</w:t>
            </w:r>
          </w:p>
        </w:tc>
        <w:tc>
          <w:tcPr>
            <w:tcW w:w="5379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85D4211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意见内容</w:t>
            </w:r>
          </w:p>
        </w:tc>
        <w:tc>
          <w:tcPr>
            <w:tcW w:w="3665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A6DA11A">
            <w:pPr>
              <w:tabs>
                <w:tab w:val="left" w:pos="3160"/>
              </w:tabs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提出单位（或个人）</w:t>
            </w:r>
          </w:p>
        </w:tc>
        <w:tc>
          <w:tcPr>
            <w:tcW w:w="1702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B5A462B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处理意见</w:t>
            </w:r>
          </w:p>
          <w:p w14:paraId="776D5BA9">
            <w:pPr>
              <w:tabs>
                <w:tab w:val="left" w:pos="1680"/>
              </w:tabs>
              <w:adjustRightInd w:val="0"/>
              <w:snapToGrid w:val="0"/>
              <w:spacing w:line="240" w:lineRule="atLeast"/>
              <w:ind w:left="-199" w:leftChars="-95" w:right="-31" w:rightChars="-15" w:firstLine="31" w:firstLineChars="13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（采纳</w:t>
            </w: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/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不采纳）</w:t>
            </w:r>
          </w:p>
        </w:tc>
        <w:tc>
          <w:tcPr>
            <w:tcW w:w="2080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49ACB4AE">
            <w:pPr>
              <w:adjustRightInd w:val="0"/>
              <w:snapToGrid w:val="0"/>
              <w:spacing w:line="240" w:lineRule="atLeast"/>
              <w:ind w:left="-199" w:leftChars="-95" w:right="105" w:rightChars="50" w:firstLine="110" w:firstLineChars="46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意见处理说明</w:t>
            </w: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 xml:space="preserve"> </w:t>
            </w:r>
          </w:p>
          <w:p w14:paraId="0806D25C">
            <w:pPr>
              <w:adjustRightInd w:val="0"/>
              <w:snapToGrid w:val="0"/>
              <w:spacing w:line="240" w:lineRule="atLeast"/>
              <w:ind w:left="-199" w:leftChars="-95" w:right="105" w:rightChars="50" w:firstLine="110" w:firstLineChars="46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（不采纳的理由）</w:t>
            </w:r>
          </w:p>
        </w:tc>
      </w:tr>
      <w:tr w14:paraId="2CDA86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499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0416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240" w:lineRule="atLeast"/>
              <w:ind w:left="105" w:leftChars="50" w:right="105" w:rightChars="50" w:firstLine="33" w:firstLineChars="14"/>
              <w:jc w:val="center"/>
              <w:textAlignment w:val="auto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1</w:t>
            </w:r>
          </w:p>
        </w:tc>
        <w:tc>
          <w:tcPr>
            <w:tcW w:w="129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AA6CFF7">
            <w:pPr>
              <w:snapToGrid w:val="0"/>
              <w:spacing w:before="159" w:beforeLines="50" w:line="360" w:lineRule="auto"/>
              <w:jc w:val="center"/>
              <w:rPr>
                <w:rFonts w:ascii="Times New Roman" w:hAnsi="宋体" w:eastAsia="仿宋_GB2312" w:cs="仿宋_GB2312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53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636DBA5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lang w:val="en-US" w:eastAsia="zh-CN"/>
              </w:rPr>
              <w:t>建议按照GB/T 1.1-2020的最新要求修改格式和语句。</w:t>
            </w:r>
          </w:p>
        </w:tc>
        <w:tc>
          <w:tcPr>
            <w:tcW w:w="36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4D02CFE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河津市林业局</w:t>
            </w:r>
          </w:p>
        </w:tc>
        <w:tc>
          <w:tcPr>
            <w:tcW w:w="17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16F1C28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4FD6945D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hint="eastAsia" w:ascii="Times New Roman" w:hAnsi="Times New Roman" w:cs="Times New Roman"/>
                <w:color w:val="auto"/>
                <w:szCs w:val="21"/>
              </w:rPr>
            </w:pPr>
          </w:p>
        </w:tc>
      </w:tr>
      <w:tr w14:paraId="7FCA29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499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83F55D4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2</w:t>
            </w:r>
          </w:p>
        </w:tc>
        <w:tc>
          <w:tcPr>
            <w:tcW w:w="129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E378A15">
            <w:pPr>
              <w:snapToGrid w:val="0"/>
              <w:spacing w:before="159" w:beforeLines="50" w:line="360" w:lineRule="auto"/>
              <w:jc w:val="center"/>
              <w:rPr>
                <w:rFonts w:ascii="Times New Roman" w:hAnsi="宋体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Times New Roman" w:hAnsi="宋体" w:eastAsia="仿宋_GB2312" w:cs="仿宋_GB2312"/>
                <w:color w:val="auto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53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80A3F4F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lang w:val="en-US" w:eastAsia="zh-CN"/>
              </w:rPr>
              <w:t>建议更新规范性引用文件。</w:t>
            </w:r>
          </w:p>
        </w:tc>
        <w:tc>
          <w:tcPr>
            <w:tcW w:w="36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6D4B7E0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河津市博润农业有限公司</w:t>
            </w:r>
          </w:p>
        </w:tc>
        <w:tc>
          <w:tcPr>
            <w:tcW w:w="17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5D8F943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754C2FF3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 w14:paraId="2F493F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499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6DF16C9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3</w:t>
            </w:r>
          </w:p>
        </w:tc>
        <w:tc>
          <w:tcPr>
            <w:tcW w:w="129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107A2B8">
            <w:pPr>
              <w:snapToGrid w:val="0"/>
              <w:spacing w:before="159" w:beforeLines="50" w:line="360" w:lineRule="auto"/>
              <w:jc w:val="center"/>
              <w:rPr>
                <w:rFonts w:ascii="Times New Roman" w:hAnsi="宋体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53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C7B992B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lang w:val="en-US" w:eastAsia="zh-CN"/>
              </w:rPr>
              <w:t>《NY/T 5010 无公害农产品 种植业产地环境条件》已废止，建议更新引用文件。</w:t>
            </w:r>
          </w:p>
        </w:tc>
        <w:tc>
          <w:tcPr>
            <w:tcW w:w="36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13949D1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太谷县绿美园林绿化工程有限公司</w:t>
            </w:r>
          </w:p>
        </w:tc>
        <w:tc>
          <w:tcPr>
            <w:tcW w:w="17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76F4D0C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63F41EE2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 w14:paraId="1D1793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99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91751AD">
            <w:pPr>
              <w:adjustRightInd w:val="0"/>
              <w:snapToGrid w:val="0"/>
              <w:spacing w:line="240" w:lineRule="atLeas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4</w:t>
            </w:r>
          </w:p>
        </w:tc>
        <w:tc>
          <w:tcPr>
            <w:tcW w:w="129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44B36E8">
            <w:pPr>
              <w:snapToGrid w:val="0"/>
              <w:spacing w:before="159" w:beforeLines="50" w:line="360" w:lineRule="auto"/>
              <w:jc w:val="center"/>
              <w:rPr>
                <w:rFonts w:ascii="Times New Roman" w:hAnsi="宋体" w:eastAsia="仿宋_GB2312" w:cs="仿宋_GB2312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Times New Roman" w:hAnsi="宋体" w:eastAsia="仿宋_GB2312" w:cs="仿宋_GB2312"/>
                <w:color w:val="auto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lang w:val="en-US" w:eastAsia="zh-CN"/>
              </w:rPr>
              <w:t>.2</w:t>
            </w:r>
          </w:p>
        </w:tc>
        <w:tc>
          <w:tcPr>
            <w:tcW w:w="53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16B154B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lang w:val="en-US" w:eastAsia="zh-CN"/>
              </w:rPr>
              <w:t>建议详细阐述自根育苗方法及步骤。</w:t>
            </w:r>
          </w:p>
        </w:tc>
        <w:tc>
          <w:tcPr>
            <w:tcW w:w="36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15195FB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祁县西六支农业开发专业合作社</w:t>
            </w:r>
          </w:p>
        </w:tc>
        <w:tc>
          <w:tcPr>
            <w:tcW w:w="17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D361EA1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74A61EB6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ascii="Times New Roman" w:hAnsi="Times New Roman" w:cs="Times New Roman"/>
                <w:color w:val="auto"/>
                <w:szCs w:val="21"/>
              </w:rPr>
            </w:pPr>
          </w:p>
        </w:tc>
      </w:tr>
      <w:tr w14:paraId="4FE226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499" w:type="dxa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4C8D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240" w:lineRule="atLeast"/>
              <w:ind w:left="105" w:leftChars="50" w:right="105" w:rightChars="50" w:firstLine="33" w:firstLineChars="14"/>
              <w:jc w:val="center"/>
              <w:textAlignment w:val="auto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5</w:t>
            </w:r>
          </w:p>
        </w:tc>
        <w:tc>
          <w:tcPr>
            <w:tcW w:w="129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7560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240" w:lineRule="atLeast"/>
              <w:ind w:left="105" w:leftChars="50" w:right="105" w:rightChars="50" w:firstLine="33" w:firstLineChars="14"/>
              <w:jc w:val="center"/>
              <w:textAlignment w:val="auto"/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default" w:ascii="Times New Roman" w:hAnsi="宋体" w:eastAsia="仿宋_GB2312" w:cs="仿宋_GB2312"/>
                <w:color w:val="auto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53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DFDC903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lang w:val="en-US" w:eastAsia="zh-CN"/>
              </w:rPr>
              <w:t>建议添加“贯彻‘预防为主，综合防治’的植保方针。以农业防治为基础，提倡生物防治，按照病虫害的发生规律，科学使用化学防治技术”。</w:t>
            </w:r>
          </w:p>
        </w:tc>
        <w:tc>
          <w:tcPr>
            <w:tcW w:w="36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E9DED50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运城市盐湖区果业发展中心</w:t>
            </w:r>
          </w:p>
        </w:tc>
        <w:tc>
          <w:tcPr>
            <w:tcW w:w="17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3B4E0A9">
            <w:pPr>
              <w:adjustRightInd w:val="0"/>
              <w:snapToGrid w:val="0"/>
              <w:spacing w:line="440" w:lineRule="exact"/>
              <w:ind w:left="105" w:leftChars="50" w:right="105" w:rightChars="50" w:firstLine="33" w:firstLineChars="14"/>
              <w:jc w:val="center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采纳</w:t>
            </w:r>
          </w:p>
        </w:tc>
        <w:tc>
          <w:tcPr>
            <w:tcW w:w="20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  <w:noWrap w:val="0"/>
            <w:vAlign w:val="center"/>
          </w:tcPr>
          <w:p w14:paraId="0D810042">
            <w:pPr>
              <w:adjustRightInd w:val="0"/>
              <w:snapToGrid w:val="0"/>
              <w:spacing w:line="360" w:lineRule="auto"/>
              <w:ind w:firstLine="200"/>
              <w:jc w:val="center"/>
              <w:rPr>
                <w:rFonts w:hint="eastAsia" w:ascii="Times New Roman" w:hAnsi="Times New Roman" w:cs="Times New Roman"/>
                <w:color w:val="auto"/>
                <w:szCs w:val="21"/>
              </w:rPr>
            </w:pPr>
          </w:p>
        </w:tc>
      </w:tr>
      <w:tr w14:paraId="27CBCD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623" w:type="dxa"/>
            <w:gridSpan w:val="6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C97F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33" w:firstLineChars="14"/>
              <w:textAlignment w:val="auto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说明：</w:t>
            </w: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1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、针对明确回复无意见的单位，请在</w:t>
            </w: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“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意见内容</w:t>
            </w: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”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中注明无意见，在</w:t>
            </w: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“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提出单位</w:t>
            </w: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>”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中列出无意见单位的名称。</w:t>
            </w: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 xml:space="preserve"> </w:t>
            </w:r>
          </w:p>
          <w:p w14:paraId="06FE8248">
            <w:pPr>
              <w:keepNext w:val="0"/>
              <w:keepLines w:val="0"/>
              <w:pageBreakBefore w:val="0"/>
              <w:widowControl w:val="0"/>
              <w:tabs>
                <w:tab w:val="left" w:pos="147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="0" w:leftChars="0" w:right="0" w:rightChars="0" w:firstLine="33" w:firstLineChars="14"/>
              <w:textAlignment w:val="auto"/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</w:pPr>
            <w:r>
              <w:rPr>
                <w:rFonts w:ascii="Times New Roman" w:hAnsi="宋体" w:eastAsia="仿宋_GB2312" w:cs="仿宋_GB2312"/>
                <w:color w:val="auto"/>
                <w:kern w:val="0"/>
                <w:sz w:val="24"/>
              </w:rPr>
              <w:t xml:space="preserve">      2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、发送征求意见稿单位数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u w:val="single"/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个；收到征求意见稿回函的单位数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u w:val="single"/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个；收到征求意见稿并提出意见的单位数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u w:val="single"/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个；没有回函的单位数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u w:val="single"/>
              </w:rPr>
              <w:t>0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个；共收到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u w:val="single"/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条回函意见，采纳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u w:val="single"/>
                <w:lang w:val="en-US" w:eastAsia="zh-CN"/>
              </w:rPr>
              <w:t>5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条意见，部分采纳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u w:val="single"/>
              </w:rPr>
              <w:t>0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条意见，未采纳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  <w:u w:val="single"/>
                <w:lang w:val="en-US" w:eastAsia="zh-CN"/>
              </w:rPr>
              <w:t>0</w:t>
            </w:r>
            <w:r>
              <w:rPr>
                <w:rFonts w:hint="eastAsia" w:ascii="Times New Roman" w:hAnsi="宋体" w:eastAsia="仿宋_GB2312" w:cs="仿宋_GB2312"/>
                <w:color w:val="auto"/>
                <w:kern w:val="0"/>
                <w:sz w:val="24"/>
              </w:rPr>
              <w:t>条意见。</w:t>
            </w:r>
          </w:p>
        </w:tc>
      </w:tr>
    </w:tbl>
    <w:p w14:paraId="041BA875">
      <w:pPr>
        <w:rPr>
          <w:rFonts w:hint="default" w:ascii="Times New Roman" w:hAnsi="Times New Roman" w:cs="Times New Roman"/>
          <w:color w:val="auto"/>
          <w:sz w:val="18"/>
          <w:szCs w:val="21"/>
        </w:rPr>
      </w:pPr>
    </w:p>
    <w:sectPr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FCBA1">
    <w:pPr>
      <w:pStyle w:val="2"/>
      <w:jc w:val="center"/>
    </w:pPr>
  </w:p>
  <w:p w14:paraId="226A0B7A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68DE6A"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27CBB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27CBB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30EF73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0182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CB11D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CB11D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08F9">
    <w:pPr>
      <w:pStyle w:val="2"/>
      <w:jc w:val="center"/>
    </w:pPr>
  </w:p>
  <w:p w14:paraId="706C5BAF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4DE492"/>
    <w:multiLevelType w:val="singleLevel"/>
    <w:tmpl w:val="FC4DE492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5ODAxMDEzNDM2OTBhZmMzNzEwOGE5MGNkMTkxOTUifQ=="/>
  </w:docVars>
  <w:rsids>
    <w:rsidRoot w:val="7E220DF5"/>
    <w:rsid w:val="0112363F"/>
    <w:rsid w:val="01E943FC"/>
    <w:rsid w:val="03D27BB9"/>
    <w:rsid w:val="049B394B"/>
    <w:rsid w:val="06357615"/>
    <w:rsid w:val="07BC1A36"/>
    <w:rsid w:val="097529BD"/>
    <w:rsid w:val="0C3B7EEE"/>
    <w:rsid w:val="13A7492B"/>
    <w:rsid w:val="13FD02E5"/>
    <w:rsid w:val="145A022E"/>
    <w:rsid w:val="15174C28"/>
    <w:rsid w:val="16005D04"/>
    <w:rsid w:val="1A5D54D3"/>
    <w:rsid w:val="1B4E47E6"/>
    <w:rsid w:val="1D0506F7"/>
    <w:rsid w:val="1F0C487F"/>
    <w:rsid w:val="1F4208BD"/>
    <w:rsid w:val="23806950"/>
    <w:rsid w:val="24C7636B"/>
    <w:rsid w:val="26EC20B9"/>
    <w:rsid w:val="296323DA"/>
    <w:rsid w:val="297D16EE"/>
    <w:rsid w:val="2CB253F1"/>
    <w:rsid w:val="2DC536D3"/>
    <w:rsid w:val="2F7E3AF9"/>
    <w:rsid w:val="316B146A"/>
    <w:rsid w:val="33FC76B3"/>
    <w:rsid w:val="342D1B97"/>
    <w:rsid w:val="34980369"/>
    <w:rsid w:val="37BC69B2"/>
    <w:rsid w:val="3CE84C78"/>
    <w:rsid w:val="3D582618"/>
    <w:rsid w:val="467852BF"/>
    <w:rsid w:val="46CA7E28"/>
    <w:rsid w:val="48736204"/>
    <w:rsid w:val="4CE437A5"/>
    <w:rsid w:val="4E05075F"/>
    <w:rsid w:val="4ECD4CF5"/>
    <w:rsid w:val="4EE61115"/>
    <w:rsid w:val="4F197B3A"/>
    <w:rsid w:val="519F04F4"/>
    <w:rsid w:val="53004672"/>
    <w:rsid w:val="55384597"/>
    <w:rsid w:val="55C909F3"/>
    <w:rsid w:val="55FA7A9F"/>
    <w:rsid w:val="576A47B0"/>
    <w:rsid w:val="576D3996"/>
    <w:rsid w:val="57D460CD"/>
    <w:rsid w:val="57FD5624"/>
    <w:rsid w:val="5B3E1F0C"/>
    <w:rsid w:val="5D610403"/>
    <w:rsid w:val="605B738C"/>
    <w:rsid w:val="60FA4DF7"/>
    <w:rsid w:val="62E278F0"/>
    <w:rsid w:val="66A650D9"/>
    <w:rsid w:val="68981661"/>
    <w:rsid w:val="69E2467A"/>
    <w:rsid w:val="6B19056F"/>
    <w:rsid w:val="6D5E04BB"/>
    <w:rsid w:val="6E8F2F72"/>
    <w:rsid w:val="721D2A17"/>
    <w:rsid w:val="72A46090"/>
    <w:rsid w:val="77672662"/>
    <w:rsid w:val="7B221E18"/>
    <w:rsid w:val="7D3D1E9B"/>
    <w:rsid w:val="7E220DF5"/>
    <w:rsid w:val="7F5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autoRedefine/>
    <w:qFormat/>
    <w:uiPriority w:val="0"/>
  </w:style>
  <w:style w:type="character" w:styleId="8">
    <w:name w:val="Hyperlink"/>
    <w:autoRedefine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9">
    <w:name w:val="Default"/>
    <w:autoRedefine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宋体" w:eastAsia="宋体" w:cs="Times New Roman"/>
      <w:color w:val="000000"/>
      <w:sz w:val="24"/>
    </w:rPr>
  </w:style>
  <w:style w:type="paragraph" w:customStyle="1" w:styleId="10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4986</Words>
  <Characters>5212</Characters>
  <Lines>0</Lines>
  <Paragraphs>0</Paragraphs>
  <TotalTime>9</TotalTime>
  <ScaleCrop>false</ScaleCrop>
  <LinksUpToDate>false</LinksUpToDate>
  <CharactersWithSpaces>5319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2024-03-08T14:19:00Z</dcterms:created>
  <dc:creator>怕～忧</dc:creator>
  <cp:lastModifiedBy>ZW</cp:lastModifiedBy>
  <dcterms:modified xsi:type="dcterms:W3CDTF">2024-08-02T06:30:56Z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69CF1CD70F8C43F8A962088A1C1245E2_13</vt:lpwstr>
  </property>
</Properties>
</file>